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PressRelease"/>
        <w:rPr>
          <w:lang w:val="fr-FR"/>
        </w:rPr>
      </w:pPr>
      <w:r>
        <w:rPr>
          <w:lang w:val="fr-FR"/>
        </w:rPr>
        <w:t xml:space="preserve">COMMUNIQUÉ DE PRESSE </w:t>
      </w:r>
      <w:r>
        <w:rPr>
          <w:sz w:val="28"/>
          <w:szCs w:val="28"/>
          <w:lang w:val="fr-FR"/>
        </w:rPr>
        <w:t>(No. 496)</w:t>
      </w:r>
    </w:p>
    <w:p>
      <w:pPr>
        <w:pStyle w:val="PressReleaseDate"/>
        <w:rPr>
          <w:lang w:val="fr-FR"/>
        </w:rPr>
      </w:pPr>
      <w:r>
        <w:rPr>
          <w:lang w:val="fr-FR"/>
        </w:rPr>
        <w:t>1 novembre 2021</w:t>
      </w:r>
      <w:r>
        <w:rPr>
          <w:lang w:val="fr-FR"/>
        </w:rPr>
        <w:tab/>
        <w:t>DIFFUSION IMMÉDIATE</w:t>
      </w:r>
    </w:p>
    <w:p>
      <w:pPr>
        <w:jc w:val="center"/>
        <w:rPr>
          <w:rFonts w:cs="Arial"/>
          <w:b/>
          <w:sz w:val="36"/>
          <w:lang w:val="fr-FR"/>
        </w:rPr>
      </w:pPr>
      <w:r>
        <w:rPr>
          <w:rFonts w:cs="Arial"/>
          <w:b/>
          <w:sz w:val="36"/>
          <w:lang w:val="fr-FR"/>
        </w:rPr>
        <w:t>IQD présente sa carte d'évaluation</w:t>
      </w:r>
    </w:p>
    <w:p>
      <w:pPr>
        <w:rPr>
          <w:rFonts w:cs="Arial"/>
          <w:bCs/>
          <w:i/>
          <w:iCs/>
          <w:szCs w:val="12"/>
          <w:lang w:val="fr-FR"/>
        </w:rPr>
      </w:pPr>
      <w:r>
        <w:rPr>
          <w:rFonts w:cs="Arial"/>
          <w:bCs/>
          <w:i/>
          <w:iCs/>
          <w:szCs w:val="12"/>
          <w:lang w:val="fr-FR"/>
        </w:rPr>
        <w:t xml:space="preserve">Test rapide et précis de tous les oscillateurs, </w:t>
      </w:r>
      <w:proofErr w:type="spellStart"/>
      <w:r>
        <w:rPr>
          <w:rFonts w:cs="Arial"/>
          <w:bCs/>
          <w:i/>
          <w:iCs/>
          <w:szCs w:val="12"/>
          <w:lang w:val="fr-FR"/>
        </w:rPr>
        <w:t>VCXO's</w:t>
      </w:r>
      <w:proofErr w:type="spellEnd"/>
      <w:r>
        <w:rPr>
          <w:rFonts w:cs="Arial"/>
          <w:bCs/>
          <w:i/>
          <w:iCs/>
          <w:szCs w:val="12"/>
          <w:lang w:val="fr-FR"/>
        </w:rPr>
        <w:t xml:space="preserve"> ainsi que TCXO/</w:t>
      </w:r>
      <w:proofErr w:type="spellStart"/>
      <w:r>
        <w:rPr>
          <w:rFonts w:cs="Arial"/>
          <w:bCs/>
          <w:i/>
          <w:iCs/>
          <w:szCs w:val="12"/>
          <w:lang w:val="fr-FR"/>
        </w:rPr>
        <w:t>VCTCXOs</w:t>
      </w:r>
      <w:proofErr w:type="spellEnd"/>
    </w:p>
    <w:p>
      <w:pPr>
        <w:rPr>
          <w:rFonts w:eastAsia="Times New Roman"/>
          <w:szCs w:val="20"/>
          <w:lang w:val="fr-FR" w:eastAsia="en-GB"/>
        </w:rPr>
      </w:pPr>
      <w:r>
        <w:rPr>
          <w:rFonts w:eastAsia="Times New Roman"/>
          <w:szCs w:val="20"/>
          <w:lang w:val="fr-FR" w:eastAsia="en-GB"/>
        </w:rPr>
        <w:t xml:space="preserve">Combien de fois avez-vous souhaité disposer d’une méthode rapide et facile pour tester un oscillateur ? Aujourd’hui, vous n’avez plus à vous soucier de concevoir et créer votre propre circuit de test. En effet, vous pouvez utiliser la nouvelle carte IOSC-EV disponible auprès d’IQD et de nos distributeurs. Elle peut être utilisée pour tester des oscillateurs à horloge monté </w:t>
      </w:r>
      <w:bookmarkStart w:id="0" w:name="_GoBack"/>
      <w:bookmarkEnd w:id="0"/>
      <w:r>
        <w:rPr>
          <w:rFonts w:eastAsia="Times New Roman"/>
          <w:szCs w:val="20"/>
          <w:lang w:val="fr-FR" w:eastAsia="en-GB"/>
        </w:rPr>
        <w:t xml:space="preserve">en surface comme les </w:t>
      </w:r>
      <w:proofErr w:type="spellStart"/>
      <w:r>
        <w:rPr>
          <w:rFonts w:eastAsia="Times New Roman"/>
          <w:szCs w:val="20"/>
          <w:lang w:val="fr-FR" w:eastAsia="en-GB"/>
        </w:rPr>
        <w:t>VCXOs</w:t>
      </w:r>
      <w:proofErr w:type="spellEnd"/>
      <w:r>
        <w:rPr>
          <w:rFonts w:eastAsia="Times New Roman"/>
          <w:szCs w:val="20"/>
          <w:lang w:val="fr-FR" w:eastAsia="en-GB"/>
        </w:rPr>
        <w:t xml:space="preserve"> ou les TCXO/</w:t>
      </w:r>
      <w:proofErr w:type="spellStart"/>
      <w:r>
        <w:rPr>
          <w:rFonts w:eastAsia="Times New Roman"/>
          <w:szCs w:val="20"/>
          <w:lang w:val="fr-FR" w:eastAsia="en-GB"/>
        </w:rPr>
        <w:t>VCTCXOs</w:t>
      </w:r>
      <w:proofErr w:type="spellEnd"/>
      <w:r>
        <w:rPr>
          <w:rFonts w:eastAsia="Times New Roman"/>
          <w:szCs w:val="20"/>
          <w:lang w:val="fr-FR" w:eastAsia="en-GB"/>
        </w:rPr>
        <w:t>.</w:t>
      </w:r>
    </w:p>
    <w:p>
      <w:pPr>
        <w:rPr>
          <w:rFonts w:eastAsia="Times New Roman"/>
          <w:szCs w:val="20"/>
          <w:lang w:val="fr-FR" w:eastAsia="en-GB"/>
        </w:rPr>
      </w:pPr>
      <w:r>
        <w:rPr>
          <w:rFonts w:eastAsia="Times New Roman"/>
          <w:szCs w:val="20"/>
          <w:lang w:val="fr-FR" w:eastAsia="en-GB"/>
        </w:rPr>
        <w:t xml:space="preserve">La carte IOSC-EV est composée de 6 cartes de plus petite taille qui peuvent être enfichée depuis le côté dans la carte mère. Des oscillateurs à 4 tampons de différentes tailles peuvent y être soudés. La plus petite carte peut être soudée sur le circuit imprimé principal. Les boîtiers se déclinent sous 6 tailles différentes : 1,6 x 1,2 mm, 2,0 x 1,6 mm, 2,5 x 2,0 mm, 3,2 x 2,5 mm, 5,0 x 3,2 mm et 7,0 x 5,0 </w:t>
      </w:r>
      <w:proofErr w:type="spellStart"/>
      <w:r>
        <w:rPr>
          <w:rFonts w:eastAsia="Times New Roman"/>
          <w:szCs w:val="20"/>
          <w:lang w:val="fr-FR" w:eastAsia="en-GB"/>
        </w:rPr>
        <w:t>mm.</w:t>
      </w:r>
      <w:proofErr w:type="spellEnd"/>
      <w:r>
        <w:rPr>
          <w:rFonts w:eastAsia="Times New Roman"/>
          <w:szCs w:val="20"/>
          <w:lang w:val="fr-FR" w:eastAsia="en-GB"/>
        </w:rPr>
        <w:t xml:space="preserve">    </w:t>
      </w:r>
    </w:p>
    <w:p>
      <w:pPr>
        <w:rPr>
          <w:rFonts w:eastAsia="Times New Roman"/>
          <w:szCs w:val="20"/>
          <w:lang w:val="fr-FR" w:eastAsia="en-GB"/>
        </w:rPr>
      </w:pPr>
      <w:r>
        <w:rPr>
          <w:rFonts w:eastAsia="Times New Roman"/>
          <w:szCs w:val="20"/>
          <w:lang w:val="fr-FR" w:eastAsia="en-GB"/>
        </w:rPr>
        <w:t>Le bruit créé par l’alimentation électrique peut affecter la fréquence de l’oscillateur. Pour cette raison, la carte IOSC-EV est équipée d’une alimentation électrique régulée et filtrée pouvant être réglée entre 1,8 V et 5,0 V. Vous pouvez donc profiter des performances optimales de l’oscillateur dans des conditions idéales. Toutefois, nous sommes conscients que pendant vos tests, vous pourriez vouloir injecter du bruit sur le rail conducteur et contrôler l’effet. Pour cette raison, la carte IOSC offre également la possibilité de mise sous tension directe du circuit imprimé.</w:t>
      </w:r>
    </w:p>
    <w:p>
      <w:pPr>
        <w:rPr>
          <w:rFonts w:eastAsia="Times New Roman"/>
          <w:szCs w:val="20"/>
          <w:lang w:val="fr-FR" w:eastAsia="en-GB"/>
        </w:rPr>
      </w:pPr>
      <w:r>
        <w:rPr>
          <w:rFonts w:eastAsia="Times New Roman"/>
          <w:szCs w:val="20"/>
          <w:lang w:val="fr-FR" w:eastAsia="en-GB"/>
        </w:rPr>
        <w:t xml:space="preserve">La fonction Activer/Désactiver peut être testée avec un commutateur manuel afin d’observer l’effet sur la consommation. Il est également possible d’exciter cette entrée, qu’elle soit forte ou faible, à partir d’une source numérique si vous souhaitez mesurer le temps d’activation. Pour les produits avec une entrée de contrôle de tension, comme un VCXO ou un VCTVXO, un potentiomètre présent sur le circuit imprimé vous permet de retirer la tolérance de fréquence et l’effet du soudage afin d’obtenir une fréquence nominale. Vous pouvez également l’utiliser pour régler manuellement l’entrée de contrôle de tension et mesurer son effet sur la fréquence. Pour les produits plus sensibles comme les </w:t>
      </w:r>
      <w:proofErr w:type="spellStart"/>
      <w:r>
        <w:rPr>
          <w:rFonts w:eastAsia="Times New Roman"/>
          <w:szCs w:val="20"/>
          <w:lang w:val="fr-FR" w:eastAsia="en-GB"/>
        </w:rPr>
        <w:t>VCTCXOs</w:t>
      </w:r>
      <w:proofErr w:type="spellEnd"/>
      <w:r>
        <w:rPr>
          <w:rFonts w:eastAsia="Times New Roman"/>
          <w:szCs w:val="20"/>
          <w:lang w:val="fr-FR" w:eastAsia="en-GB"/>
        </w:rPr>
        <w:t xml:space="preserve">, il est possible de retirer la tolérance, de mesurer la résistance du potentiomètre et de la remplacer par des résistances fixes pour réduire le bruit et obtenir une meilleure stabilité, une meilleure gigue et un bruit de phase optimal. Bien évidemment, l’entrée de contrôle de tension peut être réglée à partir d’une source analogique externe. </w:t>
      </w:r>
    </w:p>
    <w:p>
      <w:pPr>
        <w:rPr>
          <w:rFonts w:eastAsia="Times New Roman"/>
          <w:szCs w:val="20"/>
          <w:lang w:val="fr-FR" w:eastAsia="en-GB"/>
        </w:rPr>
      </w:pPr>
      <w:r>
        <w:rPr>
          <w:rFonts w:eastAsia="Times New Roman"/>
          <w:szCs w:val="20"/>
          <w:lang w:val="fr-FR" w:eastAsia="en-GB"/>
        </w:rPr>
        <w:t>Au stade externe, la carte IOSC-EV offre trois configurations de charge: CMOS, d’onde sinusoïdale ou bien directement accessible sans aucun tampon ou charge. Toutes ces sorties sont terminées par un connecteur SMA.</w:t>
      </w:r>
    </w:p>
    <w:p>
      <w:pPr>
        <w:rPr>
          <w:strike/>
          <w:lang w:val="fr-FR"/>
        </w:rPr>
      </w:pPr>
      <w:r>
        <w:rPr>
          <w:rFonts w:eastAsia="Times New Roman"/>
          <w:szCs w:val="20"/>
          <w:lang w:val="fr-FR" w:eastAsia="en-GB"/>
        </w:rPr>
        <w:t xml:space="preserve">La carte d’évaluation se décline en deux options. La première est un circuit imprimé non équipé livré avec la nomenclature requise au bon fonctionnement du circuit de test. La seconde est une carte équipée prête à l’emploi. La version non équipée sera disponible gratuitement aux 200 </w:t>
      </w:r>
      <w:proofErr w:type="spellStart"/>
      <w:r>
        <w:rPr>
          <w:rFonts w:eastAsia="Times New Roman"/>
          <w:szCs w:val="20"/>
          <w:lang w:val="fr-FR" w:eastAsia="en-GB"/>
        </w:rPr>
        <w:t>premieres</w:t>
      </w:r>
      <w:proofErr w:type="spellEnd"/>
      <w:r>
        <w:rPr>
          <w:rFonts w:eastAsia="Times New Roman"/>
          <w:szCs w:val="20"/>
          <w:lang w:val="fr-FR" w:eastAsia="en-GB"/>
        </w:rPr>
        <w:t xml:space="preserve"> </w:t>
      </w:r>
      <w:proofErr w:type="spellStart"/>
      <w:r>
        <w:rPr>
          <w:rFonts w:eastAsia="Times New Roman"/>
          <w:szCs w:val="20"/>
          <w:lang w:val="fr-FR" w:eastAsia="en-GB"/>
        </w:rPr>
        <w:t>commades</w:t>
      </w:r>
      <w:proofErr w:type="spellEnd"/>
      <w:r>
        <w:rPr>
          <w:rFonts w:eastAsia="Times New Roman"/>
          <w:szCs w:val="20"/>
          <w:lang w:val="fr-FR" w:eastAsia="en-GB"/>
        </w:rPr>
        <w:t xml:space="preserve"> d’</w:t>
      </w:r>
      <w:proofErr w:type="spellStart"/>
      <w:r>
        <w:rPr>
          <w:rFonts w:eastAsia="Times New Roman"/>
          <w:szCs w:val="20"/>
          <w:lang w:val="fr-FR" w:eastAsia="en-GB"/>
        </w:rPr>
        <w:t>echantillons</w:t>
      </w:r>
      <w:proofErr w:type="spellEnd"/>
      <w:r>
        <w:rPr>
          <w:rFonts w:eastAsia="Times New Roman"/>
          <w:szCs w:val="20"/>
          <w:lang w:val="fr-FR" w:eastAsia="en-GB"/>
        </w:rPr>
        <w:t>- Donc placez votre commande des maintenant !</w:t>
      </w:r>
    </w:p>
    <w:p>
      <w:pPr>
        <w:pStyle w:val="Ends"/>
      </w:pPr>
      <w:r>
        <w:t>###</w:t>
      </w:r>
    </w:p>
    <w:p>
      <w:pPr>
        <w:pStyle w:val="Ends"/>
        <w:spacing w:after="0"/>
        <w:jc w:val="left"/>
      </w:pPr>
      <w:r>
        <w:rPr>
          <w:sz w:val="18"/>
          <w:szCs w:val="18"/>
        </w:rPr>
        <w:t>Notes for Editors:</w:t>
      </w:r>
    </w:p>
    <w:p>
      <w:pPr>
        <w:pStyle w:val="PressReleaseNotes"/>
        <w:spacing w:after="0"/>
        <w:rPr>
          <w:rStyle w:val="Hyperlink"/>
          <w:rFonts w:cs="Arial"/>
          <w:sz w:val="18"/>
          <w:szCs w:val="18"/>
        </w:rPr>
      </w:pPr>
      <w:r>
        <w:rPr>
          <w:rFonts w:cs="Arial"/>
          <w:sz w:val="18"/>
          <w:szCs w:val="18"/>
        </w:rPr>
        <w:t>Backed by over 40 years’ experience in the manufacture of frequency products, IQD is a recognised market leader in the frequency control market</w:t>
      </w:r>
      <w:r>
        <w:rPr>
          <w:sz w:val="18"/>
          <w:szCs w:val="18"/>
        </w:rPr>
        <w:t xml:space="preserve"> and part of the </w:t>
      </w:r>
      <w:proofErr w:type="spellStart"/>
      <w:r>
        <w:rPr>
          <w:sz w:val="18"/>
          <w:szCs w:val="18"/>
        </w:rPr>
        <w:t>Würth</w:t>
      </w:r>
      <w:proofErr w:type="spellEnd"/>
      <w:r>
        <w:rPr>
          <w:sz w:val="18"/>
          <w:szCs w:val="18"/>
        </w:rPr>
        <w:t xml:space="preserve"> </w:t>
      </w:r>
      <w:proofErr w:type="spellStart"/>
      <w:r>
        <w:rPr>
          <w:sz w:val="18"/>
          <w:szCs w:val="18"/>
        </w:rPr>
        <w:t>Elektronik</w:t>
      </w:r>
      <w:proofErr w:type="spellEnd"/>
      <w:r>
        <w:rPr>
          <w:sz w:val="18"/>
          <w:szCs w:val="18"/>
        </w:rPr>
        <w:t xml:space="preserve"> eiSos group, one of the leading European manufacturers of passive components</w:t>
      </w:r>
      <w:r>
        <w:rPr>
          <w:rFonts w:cs="Arial"/>
          <w:sz w:val="18"/>
          <w:szCs w:val="18"/>
        </w:rPr>
        <w:t xml:space="preserve">. With active customers in over 80 countries, IQD offers one of the most comprehensive frequency product ranges available, from low cost commercial grade product to that used in high reliability industrial and automotive </w:t>
      </w:r>
      <w:r>
        <w:rPr>
          <w:rFonts w:cs="Arial"/>
          <w:sz w:val="18"/>
          <w:szCs w:val="18"/>
        </w:rPr>
        <w:lastRenderedPageBreak/>
        <w:t xml:space="preserve">applications including: </w:t>
      </w:r>
      <w:hyperlink r:id="rId8" w:history="1">
        <w:r>
          <w:rPr>
            <w:rStyle w:val="Hyperlink"/>
            <w:rFonts w:cs="Arial"/>
            <w:sz w:val="18"/>
            <w:szCs w:val="18"/>
          </w:rPr>
          <w:t>Quartz Crystals</w:t>
        </w:r>
      </w:hyperlink>
      <w:r>
        <w:rPr>
          <w:rFonts w:cs="Arial"/>
          <w:sz w:val="18"/>
          <w:szCs w:val="18"/>
        </w:rPr>
        <w:t xml:space="preserve">, </w:t>
      </w:r>
      <w:hyperlink r:id="rId9" w:history="1">
        <w:r>
          <w:rPr>
            <w:rStyle w:val="Hyperlink"/>
            <w:rFonts w:cs="Arial"/>
            <w:sz w:val="18"/>
            <w:szCs w:val="18"/>
          </w:rPr>
          <w:t>Clock Oscillators</w:t>
        </w:r>
      </w:hyperlink>
      <w:r>
        <w:rPr>
          <w:rFonts w:cs="Arial"/>
          <w:sz w:val="18"/>
          <w:szCs w:val="18"/>
        </w:rPr>
        <w:t xml:space="preserve">, AEC-Q200 </w:t>
      </w:r>
      <w:hyperlink r:id="rId10" w:history="1">
        <w:r>
          <w:rPr>
            <w:rStyle w:val="Hyperlink"/>
            <w:rFonts w:cs="Arial"/>
            <w:sz w:val="18"/>
            <w:szCs w:val="18"/>
          </w:rPr>
          <w:t>Crystals</w:t>
        </w:r>
      </w:hyperlink>
      <w:r>
        <w:rPr>
          <w:rFonts w:cs="Arial"/>
          <w:sz w:val="18"/>
          <w:szCs w:val="18"/>
        </w:rPr>
        <w:t xml:space="preserve"> &amp; </w:t>
      </w:r>
      <w:hyperlink r:id="rId11" w:history="1">
        <w:r>
          <w:rPr>
            <w:rStyle w:val="Hyperlink"/>
            <w:rFonts w:cs="Arial"/>
            <w:sz w:val="18"/>
            <w:szCs w:val="18"/>
          </w:rPr>
          <w:t>Oscillators</w:t>
        </w:r>
      </w:hyperlink>
      <w:r>
        <w:rPr>
          <w:rFonts w:cs="Arial"/>
          <w:sz w:val="18"/>
          <w:szCs w:val="18"/>
        </w:rPr>
        <w:t xml:space="preserve">, </w:t>
      </w:r>
      <w:hyperlink r:id="rId12" w:history="1">
        <w:r>
          <w:rPr>
            <w:rStyle w:val="Hyperlink"/>
            <w:rFonts w:cs="Arial"/>
            <w:sz w:val="18"/>
            <w:szCs w:val="18"/>
          </w:rPr>
          <w:t>VCXOs</w:t>
        </w:r>
      </w:hyperlink>
      <w:r>
        <w:rPr>
          <w:rFonts w:cs="Arial"/>
          <w:sz w:val="18"/>
          <w:szCs w:val="18"/>
        </w:rPr>
        <w:t xml:space="preserve">, </w:t>
      </w:r>
      <w:hyperlink r:id="rId13" w:history="1">
        <w:r>
          <w:rPr>
            <w:rStyle w:val="Hyperlink"/>
            <w:rFonts w:cs="Arial"/>
            <w:sz w:val="18"/>
            <w:szCs w:val="18"/>
          </w:rPr>
          <w:t>TCXOs</w:t>
        </w:r>
      </w:hyperlink>
      <w:r>
        <w:rPr>
          <w:rFonts w:cs="Arial"/>
          <w:sz w:val="18"/>
          <w:szCs w:val="18"/>
        </w:rPr>
        <w:t xml:space="preserve">, </w:t>
      </w:r>
      <w:hyperlink r:id="rId14" w:history="1">
        <w:r>
          <w:rPr>
            <w:rStyle w:val="Hyperlink"/>
            <w:rFonts w:cs="Arial"/>
            <w:sz w:val="18"/>
            <w:szCs w:val="18"/>
          </w:rPr>
          <w:t>OCVCSOs &amp; OCXOs</w:t>
        </w:r>
      </w:hyperlink>
      <w:r>
        <w:rPr>
          <w:rFonts w:cs="Arial"/>
          <w:sz w:val="18"/>
          <w:szCs w:val="18"/>
        </w:rPr>
        <w:t xml:space="preserve">, </w:t>
      </w:r>
      <w:hyperlink r:id="rId15" w:history="1">
        <w:r>
          <w:rPr>
            <w:rStyle w:val="Hyperlink"/>
            <w:rFonts w:cs="Arial"/>
            <w:sz w:val="18"/>
            <w:szCs w:val="18"/>
          </w:rPr>
          <w:t>GPS Disciplined OCXOs</w:t>
        </w:r>
      </w:hyperlink>
      <w:r>
        <w:rPr>
          <w:rFonts w:cs="Arial"/>
          <w:sz w:val="18"/>
          <w:szCs w:val="18"/>
        </w:rPr>
        <w:t xml:space="preserve">, and </w:t>
      </w:r>
      <w:hyperlink r:id="rId16" w:history="1">
        <w:r>
          <w:rPr>
            <w:rStyle w:val="Hyperlink"/>
            <w:rFonts w:cs="Arial"/>
            <w:sz w:val="18"/>
            <w:szCs w:val="18"/>
          </w:rPr>
          <w:t>Rubidium Oscillators</w:t>
        </w:r>
      </w:hyperlink>
      <w:r>
        <w:rPr>
          <w:rFonts w:cs="Arial"/>
          <w:sz w:val="18"/>
          <w:szCs w:val="18"/>
        </w:rPr>
        <w:t>.</w:t>
      </w:r>
    </w:p>
    <w:p>
      <w:pPr>
        <w:pStyle w:val="PressReleaseNotes"/>
        <w:spacing w:after="0"/>
        <w:rPr>
          <w:rFonts w:cs="Arial"/>
          <w:sz w:val="18"/>
          <w:szCs w:val="18"/>
        </w:rPr>
      </w:pPr>
    </w:p>
    <w:p>
      <w:pPr>
        <w:pStyle w:val="PressReleaseNotes"/>
        <w:rPr>
          <w:rFonts w:cs="Arial"/>
          <w:sz w:val="18"/>
          <w:szCs w:val="18"/>
        </w:rPr>
      </w:pPr>
      <w:r>
        <w:rPr>
          <w:rFonts w:cs="Arial"/>
          <w:sz w:val="18"/>
          <w:szCs w:val="18"/>
        </w:rPr>
        <w:t xml:space="preserve">Manufacturing capacity totals over 40 million units per month covering quantities from one off specials to multi-million unit orders. In addition, IQD offers customers a range of engineering support services including: application support, custom product design, sample development, electrical testing &amp; screening, frequency/temperature testing, accelerated ageing, circuit characterisation and MTIE/TDEV testing. IQD’s products are specified by leading manufacturers in the aerospace, automotive, communications, computing, consumer and industrial industries throughout the world. The full range of products is available direct through </w:t>
      </w:r>
      <w:hyperlink r:id="rId17" w:history="1">
        <w:r>
          <w:rPr>
            <w:rStyle w:val="Hyperlink"/>
            <w:rFonts w:cs="Arial"/>
            <w:sz w:val="18"/>
            <w:szCs w:val="18"/>
          </w:rPr>
          <w:t>sales offices</w:t>
        </w:r>
      </w:hyperlink>
      <w:r>
        <w:rPr>
          <w:rFonts w:cs="Arial"/>
          <w:sz w:val="18"/>
          <w:szCs w:val="18"/>
        </w:rPr>
        <w:t xml:space="preserve"> or via an extensive worldwide </w:t>
      </w:r>
      <w:hyperlink r:id="rId18" w:history="1">
        <w:r>
          <w:rPr>
            <w:rStyle w:val="Hyperlink"/>
            <w:rFonts w:cs="Arial"/>
            <w:sz w:val="18"/>
            <w:szCs w:val="18"/>
          </w:rPr>
          <w:t>distribution network</w:t>
        </w:r>
      </w:hyperlink>
      <w:r>
        <w:rPr>
          <w:rFonts w:cs="Arial"/>
          <w:sz w:val="18"/>
          <w:szCs w:val="18"/>
        </w:rPr>
        <w:t xml:space="preserve">. For more information, visit </w:t>
      </w:r>
      <w:hyperlink r:id="rId19" w:history="1">
        <w:r>
          <w:rPr>
            <w:rStyle w:val="Hyperlink"/>
            <w:rFonts w:cs="Arial"/>
            <w:sz w:val="18"/>
            <w:szCs w:val="18"/>
          </w:rPr>
          <w:t>www.iqdfrequencyproducts.com</w:t>
        </w:r>
      </w:hyperlink>
      <w:r>
        <w:rPr>
          <w:rFonts w:cs="Arial"/>
          <w:sz w:val="18"/>
          <w:szCs w:val="18"/>
        </w:rPr>
        <w:t>.</w:t>
      </w:r>
    </w:p>
    <w:p>
      <w:pPr>
        <w:pStyle w:val="PressReleaseNotes"/>
        <w:rPr>
          <w:rFonts w:cs="Arial"/>
          <w:sz w:val="18"/>
          <w:szCs w:val="18"/>
        </w:rPr>
      </w:pPr>
    </w:p>
    <w:p>
      <w:pPr>
        <w:pStyle w:val="PressReleaseNotesFurtherInformation"/>
        <w:rPr>
          <w:rFonts w:cs="Arial"/>
          <w:sz w:val="18"/>
          <w:szCs w:val="18"/>
        </w:rPr>
      </w:pPr>
      <w:r>
        <w:rPr>
          <w:rFonts w:cs="Arial"/>
          <w:sz w:val="18"/>
          <w:szCs w:val="18"/>
        </w:rPr>
        <w:t xml:space="preserve">Further information: </w:t>
      </w:r>
    </w:p>
    <w:p>
      <w:pPr>
        <w:pStyle w:val="PressReleaseNotes"/>
        <w:rPr>
          <w:rFonts w:cs="Arial"/>
          <w:sz w:val="18"/>
          <w:szCs w:val="18"/>
        </w:rPr>
      </w:pPr>
      <w:r>
        <w:rPr>
          <w:rFonts w:cs="Arial"/>
          <w:sz w:val="18"/>
          <w:szCs w:val="18"/>
        </w:rPr>
        <w:t>Becky Long</w:t>
      </w:r>
      <w:r>
        <w:rPr>
          <w:rFonts w:cs="Arial"/>
          <w:sz w:val="18"/>
          <w:szCs w:val="18"/>
        </w:rPr>
        <w:br/>
        <w:t>IQD Frequency Products Ltd</w:t>
      </w:r>
      <w:r>
        <w:rPr>
          <w:rFonts w:cs="Arial"/>
          <w:sz w:val="18"/>
          <w:szCs w:val="18"/>
        </w:rPr>
        <w:br/>
        <w:t>T: +44 (0)1460 270270</w:t>
      </w:r>
      <w:r>
        <w:rPr>
          <w:rFonts w:cs="Arial"/>
          <w:sz w:val="18"/>
          <w:szCs w:val="18"/>
        </w:rPr>
        <w:br/>
        <w:t xml:space="preserve">E: </w:t>
      </w:r>
      <w:hyperlink r:id="rId20" w:history="1">
        <w:r>
          <w:rPr>
            <w:rStyle w:val="Hyperlink"/>
            <w:rFonts w:cs="Arial"/>
            <w:sz w:val="18"/>
            <w:szCs w:val="18"/>
          </w:rPr>
          <w:t>rebecca.long@iqdfrequencyproducts.com</w:t>
        </w:r>
      </w:hyperlink>
      <w:r>
        <w:rPr>
          <w:rFonts w:cs="Arial"/>
          <w:sz w:val="18"/>
          <w:szCs w:val="18"/>
        </w:rPr>
        <w:br/>
        <w:t xml:space="preserve">W: </w:t>
      </w:r>
      <w:hyperlink r:id="rId21" w:history="1">
        <w:r>
          <w:rPr>
            <w:rStyle w:val="Hyperlink"/>
            <w:rFonts w:cs="Arial"/>
            <w:sz w:val="18"/>
            <w:szCs w:val="18"/>
          </w:rPr>
          <w:t>www.iqdfrequencyproducts.com</w:t>
        </w:r>
      </w:hyperlink>
    </w:p>
    <w:p>
      <w:pPr>
        <w:pStyle w:val="PressReleaseNotes"/>
        <w:rPr>
          <w:rFonts w:cs="Arial"/>
        </w:rPr>
      </w:pPr>
      <w:r>
        <w:rPr>
          <w:rFonts w:cs="Arial"/>
          <w:b/>
          <w:bCs/>
          <w:sz w:val="18"/>
          <w:szCs w:val="18"/>
        </w:rPr>
        <w:t>Join us on:</w:t>
      </w:r>
      <w:r>
        <w:rPr>
          <w:rFonts w:cs="Arial"/>
          <w:b/>
          <w:bCs/>
          <w:color w:val="1F497D"/>
          <w:sz w:val="18"/>
          <w:szCs w:val="18"/>
        </w:rPr>
        <w:t xml:space="preserve">  </w:t>
      </w:r>
      <w:r>
        <w:rPr>
          <w:rFonts w:cs="Arial"/>
          <w:noProof/>
          <w:color w:val="1F497D"/>
          <w:lang w:val="en-US" w:eastAsia="zh-CN" w:bidi="he-IL"/>
        </w:rPr>
        <w:drawing>
          <wp:inline distT="0" distB="0" distL="0" distR="0">
            <wp:extent cx="151130" cy="151130"/>
            <wp:effectExtent l="0" t="0" r="1270" b="1270"/>
            <wp:docPr id="6" name="Picture_x0020_2" descr="http://www.cartown.com/forum/fbb/facebook_logo_16x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2" descr="http://www.cartown.com/forum/fbb/facebook_logo_16x16.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Pr>
          <w:rFonts w:cs="Arial"/>
          <w:color w:val="1F497D"/>
        </w:rPr>
        <w:t> </w:t>
      </w:r>
      <w:hyperlink r:id="rId23" w:history="1">
        <w:r>
          <w:rPr>
            <w:rStyle w:val="Hyperlink"/>
            <w:rFonts w:cs="Arial"/>
            <w:b/>
            <w:bCs/>
            <w:sz w:val="18"/>
            <w:szCs w:val="18"/>
          </w:rPr>
          <w:t>Facebook</w:t>
        </w:r>
      </w:hyperlink>
      <w:r>
        <w:rPr>
          <w:rFonts w:cs="Arial"/>
          <w:b/>
          <w:bCs/>
          <w:color w:val="1F497D"/>
          <w:sz w:val="18"/>
          <w:szCs w:val="18"/>
        </w:rPr>
        <w:t xml:space="preserve">  -  </w:t>
      </w:r>
      <w:r>
        <w:rPr>
          <w:rFonts w:cs="Arial"/>
          <w:noProof/>
          <w:color w:val="1F497D"/>
          <w:lang w:val="en-US" w:eastAsia="zh-CN" w:bidi="he-IL"/>
        </w:rPr>
        <w:drawing>
          <wp:inline distT="0" distB="0" distL="0" distR="0">
            <wp:extent cx="182880" cy="182880"/>
            <wp:effectExtent l="0" t="0" r="7620" b="7620"/>
            <wp:docPr id="5" name="Picture_x0020_3" descr="http://www.mcreeford.com/images/home/twitt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3" descr="http://www.mcreeford.com/images/home/twitter-logo.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cs="Arial"/>
          <w:color w:val="1F497D"/>
        </w:rPr>
        <w:t> </w:t>
      </w:r>
      <w:hyperlink r:id="rId25" w:history="1">
        <w:r>
          <w:rPr>
            <w:rStyle w:val="Hyperlink"/>
            <w:rFonts w:cs="Arial"/>
            <w:b/>
            <w:bCs/>
            <w:sz w:val="18"/>
            <w:szCs w:val="18"/>
          </w:rPr>
          <w:t>Twitter</w:t>
        </w:r>
      </w:hyperlink>
      <w:r>
        <w:rPr>
          <w:rFonts w:cs="Arial"/>
          <w:b/>
          <w:bCs/>
          <w:color w:val="1F497D"/>
          <w:sz w:val="18"/>
          <w:szCs w:val="18"/>
        </w:rPr>
        <w:t xml:space="preserve">  -  </w:t>
      </w:r>
      <w:r>
        <w:rPr>
          <w:rFonts w:cs="Arial"/>
          <w:noProof/>
          <w:color w:val="1F497D"/>
          <w:lang w:val="en-US" w:eastAsia="zh-CN" w:bidi="he-IL"/>
        </w:rPr>
        <w:drawing>
          <wp:inline distT="0" distB="0" distL="0" distR="0">
            <wp:extent cx="151130" cy="151130"/>
            <wp:effectExtent l="0" t="0" r="1270" b="1270"/>
            <wp:docPr id="3" name="Picture_x0020_4" descr="http://www.besthomesbc.com/images/linkedi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4" descr="http://www.besthomesbc.com/images/linkedin_logo.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Pr>
          <w:rFonts w:cs="Arial"/>
          <w:color w:val="1F497D"/>
        </w:rPr>
        <w:t> </w:t>
      </w:r>
      <w:hyperlink r:id="rId27" w:history="1">
        <w:r>
          <w:rPr>
            <w:rStyle w:val="Hyperlink"/>
            <w:rFonts w:cs="Arial"/>
            <w:b/>
            <w:bCs/>
            <w:sz w:val="18"/>
            <w:szCs w:val="18"/>
          </w:rPr>
          <w:t>LinkedIn</w:t>
        </w:r>
      </w:hyperlink>
      <w:r>
        <w:rPr>
          <w:rFonts w:cs="Arial"/>
          <w:b/>
          <w:bCs/>
          <w:color w:val="1F497D"/>
          <w:sz w:val="18"/>
          <w:szCs w:val="18"/>
        </w:rPr>
        <w:t xml:space="preserve"> </w:t>
      </w:r>
      <w:r>
        <w:rPr>
          <w:rFonts w:cs="Arial"/>
          <w:noProof/>
          <w:lang w:val="en-US" w:eastAsia="zh-CN" w:bidi="he-IL"/>
        </w:rPr>
        <w:drawing>
          <wp:inline distT="0" distB="0" distL="0" distR="0">
            <wp:extent cx="151130" cy="17462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l="10941" r="4973" b="12025"/>
                    <a:stretch>
                      <a:fillRect/>
                    </a:stretch>
                  </pic:blipFill>
                  <pic:spPr bwMode="auto">
                    <a:xfrm>
                      <a:off x="0" y="0"/>
                      <a:ext cx="151130" cy="174625"/>
                    </a:xfrm>
                    <a:prstGeom prst="rect">
                      <a:avLst/>
                    </a:prstGeom>
                    <a:noFill/>
                    <a:ln>
                      <a:noFill/>
                    </a:ln>
                  </pic:spPr>
                </pic:pic>
              </a:graphicData>
            </a:graphic>
          </wp:inline>
        </w:drawing>
      </w:r>
      <w:r>
        <w:rPr>
          <w:rFonts w:cs="Arial"/>
        </w:rPr>
        <w:t xml:space="preserve"> </w:t>
      </w:r>
      <w:hyperlink r:id="rId29" w:anchor="115636882866960685149/posts" w:history="1">
        <w:r>
          <w:rPr>
            <w:rStyle w:val="Hyperlink"/>
            <w:rFonts w:cs="Arial"/>
            <w:b/>
            <w:bCs/>
            <w:sz w:val="18"/>
            <w:szCs w:val="18"/>
          </w:rPr>
          <w:t>Google Plus</w:t>
        </w:r>
      </w:hyperlink>
    </w:p>
    <w:sectPr>
      <w:footerReference w:type="default" r:id="rId30"/>
      <w:headerReference w:type="first" r:id="rId31"/>
      <w:footerReference w:type="first" r:id="rId32"/>
      <w:pgSz w:w="11906" w:h="16838" w:code="9"/>
      <w:pgMar w:top="2268" w:right="1021" w:bottom="709" w:left="1021"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rPr>
        <w:sz w:val="18"/>
        <w:szCs w:val="18"/>
      </w:rPr>
    </w:pPr>
    <w:r>
      <w:rPr>
        <w:noProof/>
        <w:lang w:val="en-US" w:eastAsia="zh-CN" w:bidi="he-IL"/>
      </w:rPr>
      <w:drawing>
        <wp:anchor distT="0" distB="0" distL="114300" distR="114300" simplePos="0" relativeHeight="251658240" behindDoc="0" locked="1" layoutInCell="1" allowOverlap="0">
          <wp:simplePos x="0" y="0"/>
          <wp:positionH relativeFrom="column">
            <wp:posOffset>0</wp:posOffset>
          </wp:positionH>
          <wp:positionV relativeFrom="page">
            <wp:posOffset>720090</wp:posOffset>
          </wp:positionV>
          <wp:extent cx="1688465" cy="504190"/>
          <wp:effectExtent l="0" t="0" r="6985"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504190"/>
                  </a:xfrm>
                  <a:prstGeom prst="rect">
                    <a:avLst/>
                  </a:prstGeom>
                  <a:noFill/>
                  <a:ln>
                    <a:noFill/>
                  </a:ln>
                </pic:spPr>
              </pic:pic>
            </a:graphicData>
          </a:graphic>
          <wp14:sizeRelH relativeFrom="margin">
            <wp14:pctWidth>0</wp14:pctWidth>
          </wp14:sizeRelH>
          <wp14:sizeRelV relativeFrom="margin">
            <wp14:pctHeight>0</wp14:pctHeight>
          </wp14:sizeRelV>
        </wp:anchor>
      </w:drawing>
    </w:r>
  </w:p>
  <w:p/>
  <w:p>
    <w:pPr>
      <w:pStyle w:val="IQDLetterheadAddress"/>
    </w:pPr>
    <w:r>
      <w:t xml:space="preserve">IQD Frequency Products Ltd </w:t>
    </w:r>
    <w:r>
      <w:rPr>
        <w:rFonts w:ascii="MS Gothic" w:eastAsia="MS Gothic" w:hAnsi="MS Gothic" w:cs="MS Gothic" w:hint="eastAsia"/>
      </w:rPr>
      <w:t>￭</w:t>
    </w:r>
    <w:r>
      <w:t xml:space="preserve"> Station Road </w:t>
    </w:r>
    <w:r>
      <w:rPr>
        <w:rFonts w:ascii="MS Gothic" w:eastAsia="MS Gothic" w:hAnsi="MS Gothic" w:cs="MS Gothic" w:hint="eastAsia"/>
      </w:rPr>
      <w:t>￭</w:t>
    </w:r>
    <w:r>
      <w:t xml:space="preserve"> Crewkerne </w:t>
    </w:r>
    <w:r>
      <w:rPr>
        <w:rFonts w:ascii="MS Gothic" w:eastAsia="MS Gothic" w:hAnsi="MS Gothic" w:cs="MS Gothic" w:hint="eastAsia"/>
      </w:rPr>
      <w:t>￭</w:t>
    </w:r>
    <w:r>
      <w:t xml:space="preserve"> Somerset </w:t>
    </w:r>
    <w:r>
      <w:rPr>
        <w:rFonts w:ascii="MS Gothic" w:eastAsia="MS Gothic" w:hAnsi="MS Gothic" w:cs="MS Gothic" w:hint="eastAsia"/>
      </w:rPr>
      <w:t>￭</w:t>
    </w:r>
    <w:r>
      <w:t xml:space="preserve"> TA18 8AR </w:t>
    </w:r>
    <w:r>
      <w:rPr>
        <w:rFonts w:ascii="MS Gothic" w:eastAsia="MS Gothic" w:hAnsi="MS Gothic" w:cs="MS Gothic" w:hint="eastAsia"/>
      </w:rPr>
      <w:t>￭</w:t>
    </w:r>
    <w:r>
      <w:t xml:space="preserve"> United Kingdom</w:t>
    </w:r>
    <w:r>
      <w:br/>
      <w:t xml:space="preserve">Tel: +44 (0)1460 270200 </w:t>
    </w:r>
    <w:r>
      <w:rPr>
        <w:rFonts w:ascii="MS Gothic" w:eastAsia="MS Gothic" w:hAnsi="MS Gothic" w:cs="MS Gothic" w:hint="eastAsia"/>
      </w:rPr>
      <w:t>￭</w:t>
    </w:r>
    <w:r>
      <w:t xml:space="preserve"> Fax: +44 (0)1460 72578 </w:t>
    </w:r>
    <w:r>
      <w:rPr>
        <w:rFonts w:ascii="MS Gothic" w:eastAsia="MS Gothic" w:hAnsi="MS Gothic" w:cs="MS Gothic" w:hint="eastAsia"/>
      </w:rPr>
      <w:t>￭</w:t>
    </w:r>
    <w:r>
      <w:t xml:space="preserve"> Email: info@iqdfrequencyproducts.com</w:t>
    </w:r>
  </w:p>
  <w:p>
    <w:pPr>
      <w:pStyle w:val="IQDLetterheadRegistered"/>
    </w:pPr>
    <w:r>
      <w:t xml:space="preserve">Registered in England No: 06478545 </w:t>
    </w:r>
    <w:r>
      <w:rPr>
        <w:rFonts w:ascii="MS Gothic" w:eastAsia="MS Gothic" w:hAnsi="MS Gothic" w:cs="MS Gothic" w:hint="eastAsia"/>
      </w:rPr>
      <w:t>￭</w:t>
    </w:r>
    <w:r>
      <w:t xml:space="preserve"> VAT Registration No: GB932 4502 45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IQDLetterheadAddress"/>
    </w:pPr>
    <w:r>
      <w:t xml:space="preserve">IQD Frequency Products Ltd </w:t>
    </w:r>
    <w:r>
      <w:rPr>
        <w:rFonts w:ascii="MS Gothic" w:eastAsia="MS Gothic" w:hAnsi="MS Gothic" w:cs="MS Gothic" w:hint="eastAsia"/>
      </w:rPr>
      <w:t>￭</w:t>
    </w:r>
    <w:r>
      <w:t xml:space="preserve"> Station Road </w:t>
    </w:r>
    <w:r>
      <w:rPr>
        <w:rFonts w:ascii="MS Gothic" w:eastAsia="MS Gothic" w:hAnsi="MS Gothic" w:cs="MS Gothic" w:hint="eastAsia"/>
      </w:rPr>
      <w:t>￭</w:t>
    </w:r>
    <w:r>
      <w:t xml:space="preserve"> Crewkerne </w:t>
    </w:r>
    <w:r>
      <w:rPr>
        <w:rFonts w:ascii="MS Gothic" w:eastAsia="MS Gothic" w:hAnsi="MS Gothic" w:cs="MS Gothic" w:hint="eastAsia"/>
      </w:rPr>
      <w:t>￭</w:t>
    </w:r>
    <w:r>
      <w:t xml:space="preserve"> Somerset </w:t>
    </w:r>
    <w:r>
      <w:rPr>
        <w:rFonts w:ascii="MS Gothic" w:eastAsia="MS Gothic" w:hAnsi="MS Gothic" w:cs="MS Gothic" w:hint="eastAsia"/>
      </w:rPr>
      <w:t>￭</w:t>
    </w:r>
    <w:r>
      <w:t xml:space="preserve"> TA18 8AR </w:t>
    </w:r>
    <w:r>
      <w:rPr>
        <w:rFonts w:ascii="MS Gothic" w:eastAsia="MS Gothic" w:hAnsi="MS Gothic" w:cs="MS Gothic" w:hint="eastAsia"/>
      </w:rPr>
      <w:t>￭</w:t>
    </w:r>
    <w:r>
      <w:t xml:space="preserve"> United Kingdom</w:t>
    </w:r>
    <w:r>
      <w:br/>
      <w:t xml:space="preserve">Tel: +44 (0)1460 270200 </w:t>
    </w:r>
    <w:r>
      <w:rPr>
        <w:rFonts w:ascii="MS Gothic" w:eastAsia="MS Gothic" w:hAnsi="MS Gothic" w:cs="MS Gothic" w:hint="eastAsia"/>
      </w:rPr>
      <w:t>￭</w:t>
    </w:r>
    <w:r>
      <w:t xml:space="preserve"> Fax: +44 (0)1460 72578 </w:t>
    </w:r>
    <w:r>
      <w:rPr>
        <w:rFonts w:ascii="MS Gothic" w:eastAsia="MS Gothic" w:hAnsi="MS Gothic" w:cs="MS Gothic" w:hint="eastAsia"/>
      </w:rPr>
      <w:t>￭</w:t>
    </w:r>
    <w:r>
      <w:t xml:space="preserve"> Email: info@iqdfrequencyproducts.com</w:t>
    </w:r>
  </w:p>
  <w:p>
    <w:pPr>
      <w:pStyle w:val="IQDLetterheadRegistered"/>
    </w:pPr>
    <w:r>
      <w:t xml:space="preserve">Registered in England No: 06478545 </w:t>
    </w:r>
    <w:r>
      <w:rPr>
        <w:rFonts w:ascii="MS Gothic" w:eastAsia="MS Gothic" w:hAnsi="MS Gothic" w:cs="MS Gothic" w:hint="eastAsia"/>
      </w:rPr>
      <w:t>￭</w:t>
    </w:r>
    <w:r>
      <w:t xml:space="preserve"> VAT Registration No: GB932 4502 45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rPr>
        <w:sz w:val="18"/>
        <w:szCs w:val="18"/>
      </w:rPr>
    </w:pPr>
    <w:r>
      <w:rPr>
        <w:noProof/>
        <w:lang w:val="en-US" w:eastAsia="zh-CN" w:bidi="he-IL"/>
      </w:rPr>
      <w:drawing>
        <wp:anchor distT="0" distB="0" distL="114300" distR="114300" simplePos="0" relativeHeight="251657216" behindDoc="0" locked="1" layoutInCell="1" allowOverlap="0">
          <wp:simplePos x="0" y="0"/>
          <wp:positionH relativeFrom="column">
            <wp:posOffset>0</wp:posOffset>
          </wp:positionH>
          <wp:positionV relativeFrom="page">
            <wp:posOffset>720090</wp:posOffset>
          </wp:positionV>
          <wp:extent cx="1688465" cy="504190"/>
          <wp:effectExtent l="0" t="0" r="6985"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5041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71C52"/>
    <w:multiLevelType w:val="multilevel"/>
    <w:tmpl w:val="08090025"/>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B8F7B6A"/>
    <w:multiLevelType w:val="hybridMultilevel"/>
    <w:tmpl w:val="B8DC7FA6"/>
    <w:lvl w:ilvl="0" w:tplc="4F248B6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A63FC3"/>
    <w:multiLevelType w:val="multilevel"/>
    <w:tmpl w:val="CEAE7AC4"/>
    <w:lvl w:ilvl="0">
      <w:start w:val="1"/>
      <w:numFmt w:val="decimal"/>
      <w:pStyle w:val="Heading1NP"/>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2527BE6"/>
    <w:multiLevelType w:val="hybridMultilevel"/>
    <w:tmpl w:val="15D858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57295F"/>
    <w:multiLevelType w:val="hybridMultilevel"/>
    <w:tmpl w:val="B8A06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0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009E231E-224B-449C-91AA-34F90612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288" w:lineRule="auto"/>
    </w:pPr>
    <w:rPr>
      <w:rFonts w:ascii="Arial" w:hAnsi="Arial"/>
      <w:szCs w:val="22"/>
      <w:lang w:eastAsia="en-US"/>
    </w:rPr>
  </w:style>
  <w:style w:type="paragraph" w:styleId="Heading1">
    <w:name w:val="heading 1"/>
    <w:basedOn w:val="Normal"/>
    <w:next w:val="Normal"/>
    <w:link w:val="Heading1Char"/>
    <w:uiPriority w:val="9"/>
    <w:pPr>
      <w:keepNext/>
      <w:keepLines/>
      <w:numPr>
        <w:numId w:val="1"/>
      </w:numPr>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NP">
    <w:name w:val="Heading 1 NP"/>
    <w:basedOn w:val="Heading1"/>
    <w:link w:val="Heading1NPChar"/>
    <w:autoRedefine/>
    <w:pPr>
      <w:keepLines w:val="0"/>
      <w:pageBreakBefore/>
      <w:numPr>
        <w:numId w:val="3"/>
      </w:numPr>
      <w:spacing w:before="360" w:after="60"/>
      <w:ind w:left="431" w:hanging="431"/>
    </w:pPr>
    <w:rPr>
      <w:rFonts w:ascii="Calibri" w:hAnsi="Calibri"/>
      <w:b/>
      <w:bCs/>
      <w:color w:val="auto"/>
      <w:kern w:val="32"/>
      <w:sz w:val="24"/>
    </w:rPr>
  </w:style>
  <w:style w:type="character" w:customStyle="1" w:styleId="Heading1NPChar">
    <w:name w:val="Heading 1 NP Char"/>
    <w:link w:val="Heading1NP"/>
    <w:rPr>
      <w:rFonts w:ascii="Calibri Light" w:eastAsia="Times New Roman" w:hAnsi="Calibri Light" w:cs="Times New Roman"/>
      <w:b/>
      <w:bCs/>
      <w:color w:val="2E74B5"/>
      <w:kern w:val="32"/>
      <w:sz w:val="24"/>
      <w:szCs w:val="32"/>
    </w:rPr>
  </w:style>
  <w:style w:type="character" w:customStyle="1" w:styleId="Heading1Char">
    <w:name w:val="Heading 1 Char"/>
    <w:link w:val="Heading1"/>
    <w:uiPriority w:val="9"/>
    <w:rPr>
      <w:rFonts w:ascii="Calibri Light" w:eastAsia="Times New Roman" w:hAnsi="Calibri Light" w:cs="Times New Roman"/>
      <w:color w:val="2E74B5"/>
      <w:sz w:val="32"/>
      <w:szCs w:val="32"/>
    </w:rPr>
  </w:style>
  <w:style w:type="paragraph" w:customStyle="1" w:styleId="BodyTextNumbered">
    <w:name w:val="Body Text Numbered"/>
    <w:basedOn w:val="Normal"/>
    <w:link w:val="BodyTextNumberedChar"/>
    <w:autoRedefine/>
    <w:pPr>
      <w:tabs>
        <w:tab w:val="num" w:pos="720"/>
      </w:tabs>
      <w:spacing w:before="120" w:after="0"/>
      <w:ind w:left="720" w:hanging="360"/>
    </w:pPr>
    <w:rPr>
      <w:rFonts w:cs="Arial"/>
    </w:rPr>
  </w:style>
  <w:style w:type="character" w:customStyle="1" w:styleId="BodyTextNumberedChar">
    <w:name w:val="Body Text Numbered Char"/>
    <w:link w:val="BodyTextNumbered"/>
    <w:rPr>
      <w:rFonts w:ascii="Myriad Pro" w:hAnsi="Myriad Pro" w:cs="Arial"/>
      <w:sz w:val="20"/>
    </w:rPr>
  </w:style>
  <w:style w:type="paragraph" w:styleId="Title">
    <w:name w:val="Title"/>
    <w:basedOn w:val="Normal"/>
    <w:next w:val="Normal"/>
    <w:link w:val="TitleChar"/>
    <w:autoRedefine/>
    <w:uiPriority w:val="10"/>
    <w:qFormat/>
    <w:pPr>
      <w:widowControl w:val="0"/>
      <w:pBdr>
        <w:top w:val="single" w:sz="24" w:space="3" w:color="97B2DD"/>
      </w:pBdr>
      <w:spacing w:before="2880" w:after="360" w:line="312" w:lineRule="auto"/>
    </w:pPr>
    <w:rPr>
      <w:rFonts w:eastAsia="Times New Roman"/>
      <w:b/>
      <w:spacing w:val="-10"/>
      <w:kern w:val="28"/>
      <w:sz w:val="32"/>
      <w:szCs w:val="56"/>
    </w:rPr>
  </w:style>
  <w:style w:type="character" w:customStyle="1" w:styleId="TitleChar">
    <w:name w:val="Title Char"/>
    <w:link w:val="Title"/>
    <w:uiPriority w:val="10"/>
    <w:rPr>
      <w:rFonts w:eastAsia="Times New Roman" w:cs="Times New Roman"/>
      <w:b/>
      <w:spacing w:val="-10"/>
      <w:kern w:val="28"/>
      <w:sz w:val="32"/>
      <w:szCs w:val="5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rPr>
      <w:rFonts w:ascii="Myriad Pro" w:hAnsi="Myriad Pro"/>
      <w:sz w:val="20"/>
    </w:rPr>
  </w:style>
  <w:style w:type="paragraph" w:styleId="Footer">
    <w:name w:val="footer"/>
    <w:basedOn w:val="Normal"/>
    <w:link w:val="FooterChar"/>
    <w:uiPriority w:val="99"/>
    <w:unhideWhenUsed/>
    <w:pPr>
      <w:tabs>
        <w:tab w:val="center" w:pos="4513"/>
        <w:tab w:val="right" w:pos="9026"/>
      </w:tabs>
      <w:spacing w:after="0" w:line="240" w:lineRule="auto"/>
      <w:jc w:val="right"/>
    </w:pPr>
    <w:rPr>
      <w:sz w:val="18"/>
    </w:rPr>
  </w:style>
  <w:style w:type="character" w:customStyle="1" w:styleId="FooterChar">
    <w:name w:val="Footer Char"/>
    <w:link w:val="Footer"/>
    <w:uiPriority w:val="99"/>
    <w:rPr>
      <w:rFonts w:ascii="Myriad Pro" w:hAnsi="Myriad Pro"/>
      <w:sz w:val="18"/>
    </w:rPr>
  </w:style>
  <w:style w:type="paragraph" w:customStyle="1" w:styleId="IQDLetterheadAddress">
    <w:name w:val="IQD Letterhead Address"/>
    <w:basedOn w:val="IQDLetterheadRegistered"/>
    <w:autoRedefine/>
    <w:qFormat/>
    <w:pPr>
      <w:spacing w:line="264" w:lineRule="auto"/>
    </w:pPr>
    <w:rPr>
      <w:sz w:val="18"/>
    </w:rPr>
  </w:style>
  <w:style w:type="paragraph" w:customStyle="1" w:styleId="IQDLetterheadRegistered">
    <w:name w:val="IQD Letterhead Registered"/>
    <w:basedOn w:val="Footer"/>
    <w:autoRedefine/>
    <w:qFormat/>
    <w:pPr>
      <w:spacing w:before="40" w:line="288" w:lineRule="auto"/>
    </w:pPr>
    <w:rPr>
      <w:color w:val="006BB6"/>
      <w:sz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paragraph" w:customStyle="1" w:styleId="ReceipientAddress">
    <w:name w:val="Receipient Address"/>
    <w:basedOn w:val="Normal"/>
    <w:link w:val="ReceipientAddressChar"/>
    <w:qFormat/>
    <w:pPr>
      <w:spacing w:after="240" w:line="240" w:lineRule="auto"/>
      <w:contextualSpacing/>
    </w:pPr>
  </w:style>
  <w:style w:type="paragraph" w:customStyle="1" w:styleId="LetterDate">
    <w:name w:val="Letter Date"/>
    <w:basedOn w:val="Normal"/>
    <w:autoRedefine/>
    <w:qFormat/>
    <w:pPr>
      <w:spacing w:before="480" w:after="480"/>
    </w:pPr>
  </w:style>
  <w:style w:type="paragraph" w:customStyle="1" w:styleId="Name">
    <w:name w:val="Name"/>
    <w:basedOn w:val="Normal"/>
    <w:link w:val="NameChar"/>
    <w:qFormat/>
    <w:pPr>
      <w:spacing w:after="0"/>
    </w:pPr>
  </w:style>
  <w:style w:type="paragraph" w:customStyle="1" w:styleId="JobTitle">
    <w:name w:val="Job Title"/>
    <w:basedOn w:val="Name"/>
    <w:link w:val="JobTitleChar"/>
    <w:qFormat/>
    <w:pPr>
      <w:spacing w:after="120"/>
    </w:pPr>
  </w:style>
  <w:style w:type="paragraph" w:customStyle="1" w:styleId="PressRelease">
    <w:name w:val="Press Release"/>
    <w:basedOn w:val="ReceipientAddress"/>
    <w:link w:val="PressReleaseChar"/>
    <w:autoRedefine/>
    <w:qFormat/>
    <w:pPr>
      <w:spacing w:after="120"/>
    </w:pPr>
    <w:rPr>
      <w:rFonts w:cs="Arial"/>
      <w:color w:val="006BB6"/>
      <w:sz w:val="52"/>
    </w:rPr>
  </w:style>
  <w:style w:type="paragraph" w:customStyle="1" w:styleId="PressReleaseDate">
    <w:name w:val="Press Release Date"/>
    <w:basedOn w:val="LetterDate"/>
    <w:autoRedefine/>
    <w:qFormat/>
    <w:pPr>
      <w:tabs>
        <w:tab w:val="right" w:pos="9866"/>
      </w:tabs>
      <w:spacing w:before="240" w:after="120"/>
    </w:pPr>
    <w:rPr>
      <w:rFonts w:cs="Arial"/>
      <w:caps/>
    </w:rPr>
  </w:style>
  <w:style w:type="character" w:customStyle="1" w:styleId="ReceipientAddressChar">
    <w:name w:val="Receipient Address Char"/>
    <w:link w:val="ReceipientAddress"/>
    <w:rPr>
      <w:rFonts w:ascii="Myriad Pro" w:hAnsi="Myriad Pro"/>
      <w:sz w:val="20"/>
    </w:rPr>
  </w:style>
  <w:style w:type="character" w:customStyle="1" w:styleId="PressReleaseChar">
    <w:name w:val="Press Release Char"/>
    <w:link w:val="PressRelease"/>
    <w:rPr>
      <w:rFonts w:ascii="Arial" w:hAnsi="Arial" w:cs="Arial"/>
      <w:color w:val="006BB6"/>
      <w:sz w:val="52"/>
      <w:szCs w:val="22"/>
      <w:lang w:eastAsia="en-US"/>
    </w:rPr>
  </w:style>
  <w:style w:type="paragraph" w:customStyle="1" w:styleId="PressReleaseHeading">
    <w:name w:val="Press Release Heading"/>
    <w:basedOn w:val="Normal"/>
    <w:link w:val="PressReleaseHeadingChar"/>
    <w:autoRedefine/>
    <w:qFormat/>
    <w:pPr>
      <w:spacing w:after="240"/>
      <w:jc w:val="center"/>
    </w:pPr>
    <w:rPr>
      <w:rFonts w:cs="Arial"/>
      <w:b/>
      <w:sz w:val="36"/>
    </w:rPr>
  </w:style>
  <w:style w:type="paragraph" w:customStyle="1" w:styleId="Ends">
    <w:name w:val="Ends"/>
    <w:basedOn w:val="PressReleaseHeading"/>
    <w:link w:val="EndsChar"/>
    <w:qFormat/>
    <w:rPr>
      <w:sz w:val="24"/>
    </w:rPr>
  </w:style>
  <w:style w:type="character" w:customStyle="1" w:styleId="PressReleaseHeadingChar">
    <w:name w:val="Press Release Heading Char"/>
    <w:link w:val="PressReleaseHeading"/>
    <w:rPr>
      <w:rFonts w:ascii="Arial" w:hAnsi="Arial" w:cs="Arial"/>
      <w:b/>
      <w:sz w:val="36"/>
      <w:szCs w:val="22"/>
      <w:lang w:eastAsia="en-US"/>
    </w:rPr>
  </w:style>
  <w:style w:type="paragraph" w:customStyle="1" w:styleId="PressReleaseText">
    <w:name w:val="Press Release Text"/>
    <w:basedOn w:val="JobTitle"/>
    <w:qFormat/>
    <w:pPr>
      <w:spacing w:line="360" w:lineRule="auto"/>
    </w:pPr>
  </w:style>
  <w:style w:type="character" w:customStyle="1" w:styleId="EndsChar">
    <w:name w:val="Ends Char"/>
    <w:link w:val="Ends"/>
    <w:rPr>
      <w:rFonts w:ascii="Myriad Pro" w:hAnsi="Myriad Pro"/>
      <w:b/>
      <w:sz w:val="24"/>
    </w:rPr>
  </w:style>
  <w:style w:type="character" w:styleId="Hyperlink">
    <w:name w:val="Hyperlink"/>
    <w:uiPriority w:val="99"/>
    <w:unhideWhenUsed/>
    <w:rPr>
      <w:color w:val="0563C1"/>
      <w:u w:val="single"/>
    </w:rPr>
  </w:style>
  <w:style w:type="paragraph" w:customStyle="1" w:styleId="PressReleaseNotes">
    <w:name w:val="Press Release Notes"/>
    <w:basedOn w:val="JobTitle"/>
    <w:link w:val="PressReleaseNotesChar"/>
    <w:qFormat/>
  </w:style>
  <w:style w:type="paragraph" w:customStyle="1" w:styleId="PressReleaseNotesFurtherInfo">
    <w:name w:val="Press Release Notes/Further Info"/>
    <w:basedOn w:val="PressReleaseNotes"/>
    <w:link w:val="PressReleaseNotesFurtherInfoChar"/>
    <w:rPr>
      <w:b/>
    </w:rPr>
  </w:style>
  <w:style w:type="paragraph" w:customStyle="1" w:styleId="PressReleaseNotesFurtherInformation">
    <w:name w:val="Press Release Notes/Further Information"/>
    <w:basedOn w:val="PressReleaseNotesFurtherInfo"/>
    <w:qFormat/>
    <w:pPr>
      <w:spacing w:after="0"/>
    </w:pPr>
  </w:style>
  <w:style w:type="character" w:customStyle="1" w:styleId="NameChar">
    <w:name w:val="Name Char"/>
    <w:link w:val="Name"/>
    <w:rPr>
      <w:rFonts w:ascii="Myriad Pro" w:hAnsi="Myriad Pro"/>
      <w:sz w:val="20"/>
    </w:rPr>
  </w:style>
  <w:style w:type="character" w:customStyle="1" w:styleId="JobTitleChar">
    <w:name w:val="Job Title Char"/>
    <w:link w:val="JobTitle"/>
    <w:rPr>
      <w:rFonts w:ascii="Myriad Pro" w:hAnsi="Myriad Pro"/>
      <w:sz w:val="20"/>
    </w:rPr>
  </w:style>
  <w:style w:type="character" w:customStyle="1" w:styleId="PressReleaseNotesChar">
    <w:name w:val="Press Release Notes Char"/>
    <w:link w:val="PressReleaseNotes"/>
    <w:rPr>
      <w:rFonts w:ascii="Myriad Pro" w:hAnsi="Myriad Pro"/>
      <w:sz w:val="20"/>
    </w:rPr>
  </w:style>
  <w:style w:type="character" w:customStyle="1" w:styleId="PressReleaseNotesFurtherInfoChar">
    <w:name w:val="Press Release Notes/Further Info Char"/>
    <w:link w:val="PressReleaseNotesFurtherInfo"/>
    <w:rPr>
      <w:rFonts w:ascii="Myriad Pro" w:hAnsi="Myriad Pro"/>
      <w:b/>
      <w:sz w:val="20"/>
    </w:rPr>
  </w:style>
  <w:style w:type="paragraph" w:customStyle="1" w:styleId="PressReleaseTitle">
    <w:name w:val="Press Release Title"/>
    <w:basedOn w:val="Normal"/>
    <w:pPr>
      <w:spacing w:before="120" w:after="60"/>
      <w:jc w:val="center"/>
    </w:pPr>
    <w:rPr>
      <w:rFonts w:eastAsia="Times New Roman"/>
      <w:b/>
      <w:snapToGrid w:val="0"/>
      <w:sz w:val="36"/>
      <w:szCs w:val="20"/>
      <w:lang w:eastAsia="fr-FR"/>
    </w:rPr>
  </w:style>
  <w:style w:type="character" w:styleId="FollowedHyperlink">
    <w:name w:val="FollowedHyperlink"/>
    <w:uiPriority w:val="99"/>
    <w:semiHidden/>
    <w:unhideWhenUsed/>
    <w:rPr>
      <w:color w:val="954F72"/>
      <w:u w:val="single"/>
    </w:rPr>
  </w:style>
  <w:style w:type="paragraph" w:styleId="PlainText">
    <w:name w:val="Plain Text"/>
    <w:basedOn w:val="Normal"/>
    <w:link w:val="PlainTextChar"/>
    <w:uiPriority w:val="99"/>
    <w:semiHidden/>
    <w:unhideWhenUsed/>
    <w:pPr>
      <w:spacing w:after="0" w:line="240" w:lineRule="auto"/>
    </w:pPr>
    <w:rPr>
      <w:szCs w:val="21"/>
    </w:rPr>
  </w:style>
  <w:style w:type="character" w:customStyle="1" w:styleId="PlainTextChar">
    <w:name w:val="Plain Text Char"/>
    <w:link w:val="PlainText"/>
    <w:uiPriority w:val="99"/>
    <w:semiHidden/>
    <w:rPr>
      <w:rFonts w:ascii="Arial" w:hAnsi="Arial"/>
      <w:szCs w:val="21"/>
      <w:lang w:eastAsia="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Cs w:val="20"/>
    </w:rPr>
  </w:style>
  <w:style w:type="character" w:customStyle="1" w:styleId="CommentTextChar">
    <w:name w:val="Comment Text Char"/>
    <w:basedOn w:val="DefaultParagraphFont"/>
    <w:link w:val="CommentText"/>
    <w:uiPriority w:val="99"/>
    <w:semiHidden/>
    <w:rPr>
      <w:rFonts w:ascii="Arial" w:hAnsi="Arial"/>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lang w:eastAsia="en-U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Pr>
      <w:rFonts w:asciiTheme="minorHAnsi" w:eastAsiaTheme="minorHAnsi" w:hAnsiTheme="minorHAnsi" w:cstheme="minorBidi"/>
      <w:sz w:val="22"/>
      <w:szCs w:val="22"/>
      <w:lang w:eastAsia="en-US"/>
    </w:rPr>
  </w:style>
  <w:style w:type="paragraph" w:styleId="ListParagraph">
    <w:name w:val="List Paragraph"/>
    <w:basedOn w:val="Normal"/>
    <w:uiPriority w:val="34"/>
    <w:qFormat/>
    <w:pPr>
      <w:spacing w:after="0" w:line="240" w:lineRule="auto"/>
      <w:ind w:left="720"/>
      <w:contextualSpacing/>
    </w:pPr>
    <w:rPr>
      <w:rFonts w:asciiTheme="minorHAnsi" w:eastAsiaTheme="minorHAnsi" w:hAnsiTheme="minorHAnsi" w:cstheme="minorBidi"/>
      <w:sz w:val="22"/>
    </w:rPr>
  </w:style>
  <w:style w:type="paragraph" w:styleId="Revision">
    <w:name w:val="Revision"/>
    <w:hidden/>
    <w:uiPriority w:val="99"/>
    <w:semiHidden/>
    <w:rPr>
      <w:rFonts w:ascii="Arial"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13814">
      <w:bodyDiv w:val="1"/>
      <w:marLeft w:val="0"/>
      <w:marRight w:val="0"/>
      <w:marTop w:val="0"/>
      <w:marBottom w:val="0"/>
      <w:divBdr>
        <w:top w:val="none" w:sz="0" w:space="0" w:color="auto"/>
        <w:left w:val="none" w:sz="0" w:space="0" w:color="auto"/>
        <w:bottom w:val="none" w:sz="0" w:space="0" w:color="auto"/>
        <w:right w:val="none" w:sz="0" w:space="0" w:color="auto"/>
      </w:divBdr>
    </w:div>
    <w:div w:id="485975734">
      <w:bodyDiv w:val="1"/>
      <w:marLeft w:val="0"/>
      <w:marRight w:val="0"/>
      <w:marTop w:val="0"/>
      <w:marBottom w:val="0"/>
      <w:divBdr>
        <w:top w:val="none" w:sz="0" w:space="0" w:color="auto"/>
        <w:left w:val="none" w:sz="0" w:space="0" w:color="auto"/>
        <w:bottom w:val="none" w:sz="0" w:space="0" w:color="auto"/>
        <w:right w:val="none" w:sz="0" w:space="0" w:color="auto"/>
      </w:divBdr>
    </w:div>
    <w:div w:id="1004818654">
      <w:bodyDiv w:val="1"/>
      <w:marLeft w:val="0"/>
      <w:marRight w:val="0"/>
      <w:marTop w:val="0"/>
      <w:marBottom w:val="0"/>
      <w:divBdr>
        <w:top w:val="none" w:sz="0" w:space="0" w:color="auto"/>
        <w:left w:val="none" w:sz="0" w:space="0" w:color="auto"/>
        <w:bottom w:val="none" w:sz="0" w:space="0" w:color="auto"/>
        <w:right w:val="none" w:sz="0" w:space="0" w:color="auto"/>
      </w:divBdr>
    </w:div>
    <w:div w:id="1540894243">
      <w:bodyDiv w:val="1"/>
      <w:marLeft w:val="0"/>
      <w:marRight w:val="0"/>
      <w:marTop w:val="0"/>
      <w:marBottom w:val="0"/>
      <w:divBdr>
        <w:top w:val="none" w:sz="0" w:space="0" w:color="auto"/>
        <w:left w:val="none" w:sz="0" w:space="0" w:color="auto"/>
        <w:bottom w:val="none" w:sz="0" w:space="0" w:color="auto"/>
        <w:right w:val="none" w:sz="0" w:space="0" w:color="auto"/>
      </w:divBdr>
    </w:div>
    <w:div w:id="1589994872">
      <w:bodyDiv w:val="1"/>
      <w:marLeft w:val="0"/>
      <w:marRight w:val="0"/>
      <w:marTop w:val="0"/>
      <w:marBottom w:val="0"/>
      <w:divBdr>
        <w:top w:val="none" w:sz="0" w:space="0" w:color="auto"/>
        <w:left w:val="none" w:sz="0" w:space="0" w:color="auto"/>
        <w:bottom w:val="none" w:sz="0" w:space="0" w:color="auto"/>
        <w:right w:val="none" w:sz="0" w:space="0" w:color="auto"/>
      </w:divBdr>
    </w:div>
    <w:div w:id="1712722888">
      <w:bodyDiv w:val="1"/>
      <w:marLeft w:val="0"/>
      <w:marRight w:val="0"/>
      <w:marTop w:val="0"/>
      <w:marBottom w:val="0"/>
      <w:divBdr>
        <w:top w:val="none" w:sz="0" w:space="0" w:color="auto"/>
        <w:left w:val="none" w:sz="0" w:space="0" w:color="auto"/>
        <w:bottom w:val="none" w:sz="0" w:space="0" w:color="auto"/>
        <w:right w:val="none" w:sz="0" w:space="0" w:color="auto"/>
      </w:divBdr>
    </w:div>
    <w:div w:id="1789198471">
      <w:bodyDiv w:val="1"/>
      <w:marLeft w:val="0"/>
      <w:marRight w:val="0"/>
      <w:marTop w:val="0"/>
      <w:marBottom w:val="0"/>
      <w:divBdr>
        <w:top w:val="none" w:sz="0" w:space="0" w:color="auto"/>
        <w:left w:val="none" w:sz="0" w:space="0" w:color="auto"/>
        <w:bottom w:val="none" w:sz="0" w:space="0" w:color="auto"/>
        <w:right w:val="none" w:sz="0" w:space="0" w:color="auto"/>
      </w:divBdr>
    </w:div>
    <w:div w:id="1884366300">
      <w:bodyDiv w:val="1"/>
      <w:marLeft w:val="0"/>
      <w:marRight w:val="0"/>
      <w:marTop w:val="0"/>
      <w:marBottom w:val="0"/>
      <w:divBdr>
        <w:top w:val="none" w:sz="0" w:space="0" w:color="auto"/>
        <w:left w:val="none" w:sz="0" w:space="0" w:color="auto"/>
        <w:bottom w:val="none" w:sz="0" w:space="0" w:color="auto"/>
        <w:right w:val="none" w:sz="0" w:space="0" w:color="auto"/>
      </w:divBdr>
    </w:div>
    <w:div w:id="1909681945">
      <w:bodyDiv w:val="1"/>
      <w:marLeft w:val="0"/>
      <w:marRight w:val="0"/>
      <w:marTop w:val="0"/>
      <w:marBottom w:val="0"/>
      <w:divBdr>
        <w:top w:val="none" w:sz="0" w:space="0" w:color="auto"/>
        <w:left w:val="none" w:sz="0" w:space="0" w:color="auto"/>
        <w:bottom w:val="none" w:sz="0" w:space="0" w:color="auto"/>
        <w:right w:val="none" w:sz="0" w:space="0" w:color="auto"/>
      </w:divBdr>
    </w:div>
    <w:div w:id="1949656945">
      <w:bodyDiv w:val="1"/>
      <w:marLeft w:val="0"/>
      <w:marRight w:val="0"/>
      <w:marTop w:val="0"/>
      <w:marBottom w:val="0"/>
      <w:divBdr>
        <w:top w:val="none" w:sz="0" w:space="0" w:color="auto"/>
        <w:left w:val="none" w:sz="0" w:space="0" w:color="auto"/>
        <w:bottom w:val="none" w:sz="0" w:space="0" w:color="auto"/>
        <w:right w:val="none" w:sz="0" w:space="0" w:color="auto"/>
      </w:divBdr>
    </w:div>
    <w:div w:id="2001694516">
      <w:bodyDiv w:val="1"/>
      <w:marLeft w:val="0"/>
      <w:marRight w:val="0"/>
      <w:marTop w:val="0"/>
      <w:marBottom w:val="0"/>
      <w:divBdr>
        <w:top w:val="none" w:sz="0" w:space="0" w:color="auto"/>
        <w:left w:val="none" w:sz="0" w:space="0" w:color="auto"/>
        <w:bottom w:val="none" w:sz="0" w:space="0" w:color="auto"/>
        <w:right w:val="none" w:sz="0" w:space="0" w:color="auto"/>
      </w:divBdr>
    </w:div>
    <w:div w:id="2120102778">
      <w:bodyDiv w:val="1"/>
      <w:marLeft w:val="0"/>
      <w:marRight w:val="0"/>
      <w:marTop w:val="0"/>
      <w:marBottom w:val="0"/>
      <w:divBdr>
        <w:top w:val="none" w:sz="0" w:space="0" w:color="auto"/>
        <w:left w:val="none" w:sz="0" w:space="0" w:color="auto"/>
        <w:bottom w:val="none" w:sz="0" w:space="0" w:color="auto"/>
        <w:right w:val="none" w:sz="0" w:space="0" w:color="auto"/>
      </w:divBdr>
    </w:div>
    <w:div w:id="213944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VQD4Jj" TargetMode="External"/><Relationship Id="rId13" Type="http://schemas.openxmlformats.org/officeDocument/2006/relationships/hyperlink" Target="https://goo.gl/EmJBKL" TargetMode="External"/><Relationship Id="rId18" Type="http://schemas.openxmlformats.org/officeDocument/2006/relationships/hyperlink" Target="https://goo.gl/M4Tz8L" TargetMode="External"/><Relationship Id="rId26"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http://www.iqdfrequencyproducts.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goo.gl/WkHnAh" TargetMode="External"/><Relationship Id="rId17" Type="http://schemas.openxmlformats.org/officeDocument/2006/relationships/hyperlink" Target="http://www.iqdfrequencyproducts.com/contact/" TargetMode="External"/><Relationship Id="rId25" Type="http://schemas.openxmlformats.org/officeDocument/2006/relationships/hyperlink" Target="https://twitter.com/iqdfrequenc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oo.gl/Bzqt5W" TargetMode="External"/><Relationship Id="rId20" Type="http://schemas.openxmlformats.org/officeDocument/2006/relationships/hyperlink" Target="mailto:rebecca.long@iqdfrequencyproducts.com" TargetMode="External"/><Relationship Id="rId29" Type="http://schemas.openxmlformats.org/officeDocument/2006/relationships/hyperlink" Target="https://plus.google.com/115636882866960685149/pos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o.gl/pc9DJm" TargetMode="External"/><Relationship Id="rId24" Type="http://schemas.openxmlformats.org/officeDocument/2006/relationships/image" Target="media/image2.png"/><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goo.gl/kesb3R" TargetMode="External"/><Relationship Id="rId23" Type="http://schemas.openxmlformats.org/officeDocument/2006/relationships/hyperlink" Target="http://www.facebook.com/IQDFrequencyProducts" TargetMode="External"/><Relationship Id="rId28" Type="http://schemas.openxmlformats.org/officeDocument/2006/relationships/image" Target="media/image4.png"/><Relationship Id="rId10" Type="http://schemas.openxmlformats.org/officeDocument/2006/relationships/hyperlink" Target="https://goo.gl/9ytKG6" TargetMode="External"/><Relationship Id="rId19" Type="http://schemas.openxmlformats.org/officeDocument/2006/relationships/hyperlink" Target="http://www.iqdfrequencyproducts.com"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oo.gl/EBXVXM" TargetMode="External"/><Relationship Id="rId14" Type="http://schemas.openxmlformats.org/officeDocument/2006/relationships/hyperlink" Target="https://goo.gl/MnTFHu" TargetMode="External"/><Relationship Id="rId22" Type="http://schemas.openxmlformats.org/officeDocument/2006/relationships/image" Target="media/image1.png"/><Relationship Id="rId27" Type="http://schemas.openxmlformats.org/officeDocument/2006/relationships/hyperlink" Target="http://www.linkedin.com/company/iqd-frequency-products-ltd"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43F3C-6278-489F-9FFA-D619174E9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862</Words>
  <Characters>4918</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5769</CharactersWithSpaces>
  <SharedDoc>false</SharedDoc>
  <HLinks>
    <vt:vector size="114" baseType="variant">
      <vt:variant>
        <vt:i4>262152</vt:i4>
      </vt:variant>
      <vt:variant>
        <vt:i4>54</vt:i4>
      </vt:variant>
      <vt:variant>
        <vt:i4>0</vt:i4>
      </vt:variant>
      <vt:variant>
        <vt:i4>5</vt:i4>
      </vt:variant>
      <vt:variant>
        <vt:lpwstr>https://plus.google.com/115636882866960685149/posts</vt:lpwstr>
      </vt:variant>
      <vt:variant>
        <vt:lpwstr>115636882866960685149/posts</vt:lpwstr>
      </vt:variant>
      <vt:variant>
        <vt:i4>7274603</vt:i4>
      </vt:variant>
      <vt:variant>
        <vt:i4>51</vt:i4>
      </vt:variant>
      <vt:variant>
        <vt:i4>0</vt:i4>
      </vt:variant>
      <vt:variant>
        <vt:i4>5</vt:i4>
      </vt:variant>
      <vt:variant>
        <vt:lpwstr>http://www.linkedin.com/company/iqd-frequency-products-ltd</vt:lpwstr>
      </vt:variant>
      <vt:variant>
        <vt:lpwstr/>
      </vt:variant>
      <vt:variant>
        <vt:i4>589917</vt:i4>
      </vt:variant>
      <vt:variant>
        <vt:i4>48</vt:i4>
      </vt:variant>
      <vt:variant>
        <vt:i4>0</vt:i4>
      </vt:variant>
      <vt:variant>
        <vt:i4>5</vt:i4>
      </vt:variant>
      <vt:variant>
        <vt:lpwstr>https://twitter.com/iqdfrequency</vt:lpwstr>
      </vt:variant>
      <vt:variant>
        <vt:lpwstr/>
      </vt:variant>
      <vt:variant>
        <vt:i4>5963848</vt:i4>
      </vt:variant>
      <vt:variant>
        <vt:i4>45</vt:i4>
      </vt:variant>
      <vt:variant>
        <vt:i4>0</vt:i4>
      </vt:variant>
      <vt:variant>
        <vt:i4>5</vt:i4>
      </vt:variant>
      <vt:variant>
        <vt:lpwstr>http://www.facebook.com/IQDFrequencyProducts</vt:lpwstr>
      </vt:variant>
      <vt:variant>
        <vt:lpwstr/>
      </vt:variant>
      <vt:variant>
        <vt:i4>5439560</vt:i4>
      </vt:variant>
      <vt:variant>
        <vt:i4>42</vt:i4>
      </vt:variant>
      <vt:variant>
        <vt:i4>0</vt:i4>
      </vt:variant>
      <vt:variant>
        <vt:i4>5</vt:i4>
      </vt:variant>
      <vt:variant>
        <vt:lpwstr>http://www.iqdfrequencyproducts.com/</vt:lpwstr>
      </vt:variant>
      <vt:variant>
        <vt:lpwstr/>
      </vt:variant>
      <vt:variant>
        <vt:i4>7929939</vt:i4>
      </vt:variant>
      <vt:variant>
        <vt:i4>39</vt:i4>
      </vt:variant>
      <vt:variant>
        <vt:i4>0</vt:i4>
      </vt:variant>
      <vt:variant>
        <vt:i4>5</vt:i4>
      </vt:variant>
      <vt:variant>
        <vt:lpwstr>mailto:Carly-Rose.Gray@iqdfrequencyproducts.com</vt:lpwstr>
      </vt:variant>
      <vt:variant>
        <vt:lpwstr/>
      </vt:variant>
      <vt:variant>
        <vt:i4>5439560</vt:i4>
      </vt:variant>
      <vt:variant>
        <vt:i4>36</vt:i4>
      </vt:variant>
      <vt:variant>
        <vt:i4>0</vt:i4>
      </vt:variant>
      <vt:variant>
        <vt:i4>5</vt:i4>
      </vt:variant>
      <vt:variant>
        <vt:lpwstr>http://www.iqdfrequencyproducts.com/</vt:lpwstr>
      </vt:variant>
      <vt:variant>
        <vt:lpwstr/>
      </vt:variant>
      <vt:variant>
        <vt:i4>5111881</vt:i4>
      </vt:variant>
      <vt:variant>
        <vt:i4>33</vt:i4>
      </vt:variant>
      <vt:variant>
        <vt:i4>0</vt:i4>
      </vt:variant>
      <vt:variant>
        <vt:i4>5</vt:i4>
      </vt:variant>
      <vt:variant>
        <vt:lpwstr>http://www.iqdfrequencyproducts.com/distributors/</vt:lpwstr>
      </vt:variant>
      <vt:variant>
        <vt:lpwstr/>
      </vt:variant>
      <vt:variant>
        <vt:i4>262224</vt:i4>
      </vt:variant>
      <vt:variant>
        <vt:i4>30</vt:i4>
      </vt:variant>
      <vt:variant>
        <vt:i4>0</vt:i4>
      </vt:variant>
      <vt:variant>
        <vt:i4>5</vt:i4>
      </vt:variant>
      <vt:variant>
        <vt:lpwstr>http://www.iqdfrequencyproducts.com/contact/</vt:lpwstr>
      </vt:variant>
      <vt:variant>
        <vt:lpwstr/>
      </vt:variant>
      <vt:variant>
        <vt:i4>3604601</vt:i4>
      </vt:variant>
      <vt:variant>
        <vt:i4>27</vt:i4>
      </vt:variant>
      <vt:variant>
        <vt:i4>0</vt:i4>
      </vt:variant>
      <vt:variant>
        <vt:i4>5</vt:i4>
      </vt:variant>
      <vt:variant>
        <vt:lpwstr>http://www.iqdfrequencyproducts.com/products/search/?type=rubidium-oscillators</vt:lpwstr>
      </vt:variant>
      <vt:variant>
        <vt:lpwstr/>
      </vt:variant>
      <vt:variant>
        <vt:i4>3670078</vt:i4>
      </vt:variant>
      <vt:variant>
        <vt:i4>24</vt:i4>
      </vt:variant>
      <vt:variant>
        <vt:i4>0</vt:i4>
      </vt:variant>
      <vt:variant>
        <vt:i4>5</vt:i4>
      </vt:variant>
      <vt:variant>
        <vt:lpwstr>http://www.iqdfrequencyproducts.com/products/search/?type=gps-disciplined-ocxos</vt:lpwstr>
      </vt:variant>
      <vt:variant>
        <vt:lpwstr/>
      </vt:variant>
      <vt:variant>
        <vt:i4>4063282</vt:i4>
      </vt:variant>
      <vt:variant>
        <vt:i4>21</vt:i4>
      </vt:variant>
      <vt:variant>
        <vt:i4>0</vt:i4>
      </vt:variant>
      <vt:variant>
        <vt:i4>5</vt:i4>
      </vt:variant>
      <vt:variant>
        <vt:lpwstr>http://www.iqdfrequencyproducts.com/products/search/?type=ocxo</vt:lpwstr>
      </vt:variant>
      <vt:variant>
        <vt:lpwstr/>
      </vt:variant>
      <vt:variant>
        <vt:i4>4063273</vt:i4>
      </vt:variant>
      <vt:variant>
        <vt:i4>18</vt:i4>
      </vt:variant>
      <vt:variant>
        <vt:i4>0</vt:i4>
      </vt:variant>
      <vt:variant>
        <vt:i4>5</vt:i4>
      </vt:variant>
      <vt:variant>
        <vt:lpwstr>http://www.iqdfrequencyproducts.com/products/search/?type=tcxos</vt:lpwstr>
      </vt:variant>
      <vt:variant>
        <vt:lpwstr/>
      </vt:variant>
      <vt:variant>
        <vt:i4>4063275</vt:i4>
      </vt:variant>
      <vt:variant>
        <vt:i4>15</vt:i4>
      </vt:variant>
      <vt:variant>
        <vt:i4>0</vt:i4>
      </vt:variant>
      <vt:variant>
        <vt:i4>5</vt:i4>
      </vt:variant>
      <vt:variant>
        <vt:lpwstr>http://www.iqdfrequencyproducts.com/products/search/?type=vcxo</vt:lpwstr>
      </vt:variant>
      <vt:variant>
        <vt:lpwstr/>
      </vt:variant>
      <vt:variant>
        <vt:i4>8061041</vt:i4>
      </vt:variant>
      <vt:variant>
        <vt:i4>12</vt:i4>
      </vt:variant>
      <vt:variant>
        <vt:i4>0</vt:i4>
      </vt:variant>
      <vt:variant>
        <vt:i4>5</vt:i4>
      </vt:variant>
      <vt:variant>
        <vt:lpwstr>http://www.iqdfrequencyproducts.com/products/search/?type=crystal-clock-oscillator&amp;include%5B%5D=smd&amp;include%5B%5D=thru-hole&amp;model=&amp;product-features=aec-q200-qualified%7Cts16949-release&amp;package=&amp;frequency=&amp;frequency-uom=MHz&amp;frequency-stability=&amp;temperature-range=&amp;output=&amp;voltage=</vt:lpwstr>
      </vt:variant>
      <vt:variant>
        <vt:lpwstr/>
      </vt:variant>
      <vt:variant>
        <vt:i4>8061036</vt:i4>
      </vt:variant>
      <vt:variant>
        <vt:i4>9</vt:i4>
      </vt:variant>
      <vt:variant>
        <vt:i4>0</vt:i4>
      </vt:variant>
      <vt:variant>
        <vt:i4>5</vt:i4>
      </vt:variant>
      <vt:variant>
        <vt:lpwstr>http://www.iqdfrequencyproducts.com/products/search/?type=quartz-crystal&amp;include%5B%5D=smd&amp;include%5B%5D=thru-hole&amp;model=&amp;product-features=aec-q200-qualified%7Cts16949-release&amp;package=&amp;frequency=&amp;frequency-uom=MHz&amp;frequency-tolerence=&amp;frequency-stability=&amp;temperature-range=</vt:lpwstr>
      </vt:variant>
      <vt:variant>
        <vt:lpwstr/>
      </vt:variant>
      <vt:variant>
        <vt:i4>2949166</vt:i4>
      </vt:variant>
      <vt:variant>
        <vt:i4>6</vt:i4>
      </vt:variant>
      <vt:variant>
        <vt:i4>0</vt:i4>
      </vt:variant>
      <vt:variant>
        <vt:i4>5</vt:i4>
      </vt:variant>
      <vt:variant>
        <vt:lpwstr>http://www.iqdfrequencyproducts.com/products/search/?type=crystal-clock-oscillator</vt:lpwstr>
      </vt:variant>
      <vt:variant>
        <vt:lpwstr/>
      </vt:variant>
      <vt:variant>
        <vt:i4>5046284</vt:i4>
      </vt:variant>
      <vt:variant>
        <vt:i4>3</vt:i4>
      </vt:variant>
      <vt:variant>
        <vt:i4>0</vt:i4>
      </vt:variant>
      <vt:variant>
        <vt:i4>5</vt:i4>
      </vt:variant>
      <vt:variant>
        <vt:lpwstr>http://www.iqdfrequencyproducts.com/products/search/?type=quartz-crystal</vt:lpwstr>
      </vt:variant>
      <vt:variant>
        <vt:lpwstr/>
      </vt:variant>
      <vt:variant>
        <vt:i4>5439560</vt:i4>
      </vt:variant>
      <vt:variant>
        <vt:i4>0</vt:i4>
      </vt:variant>
      <vt:variant>
        <vt:i4>0</vt:i4>
      </vt:variant>
      <vt:variant>
        <vt:i4>5</vt:i4>
      </vt:variant>
      <vt:variant>
        <vt:lpwstr>http://www.iqdfrequencyproducts.com/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rebecca.long</dc:creator>
  <cp:keywords/>
  <dc:description/>
  <cp:lastModifiedBy>rebecca.long</cp:lastModifiedBy>
  <cp:revision>5</cp:revision>
  <cp:lastPrinted>2015-08-21T16:09:00Z</cp:lastPrinted>
  <dcterms:created xsi:type="dcterms:W3CDTF">2021-10-15T08:16:00Z</dcterms:created>
  <dcterms:modified xsi:type="dcterms:W3CDTF">2021-10-28T09:21:00Z</dcterms:modified>
</cp:coreProperties>
</file>