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rPr>
          <w:lang w:val="fr-FR"/>
        </w:rPr>
      </w:pPr>
      <w:r>
        <w:rPr>
          <w:lang w:val="fr-FR"/>
        </w:rPr>
        <w:t xml:space="preserve">COMMUNIQUÉ DE PRESSE </w:t>
      </w:r>
      <w:r>
        <w:rPr>
          <w:sz w:val="28"/>
          <w:szCs w:val="28"/>
          <w:lang w:val="fr-FR"/>
        </w:rPr>
        <w:t>(No. 484)</w:t>
      </w:r>
    </w:p>
    <w:p>
      <w:pPr>
        <w:pStyle w:val="PressReleaseDate"/>
        <w:rPr>
          <w:lang w:val="fr-FR"/>
        </w:rPr>
      </w:pPr>
      <w:r>
        <w:rPr>
          <w:lang w:val="fr-FR"/>
        </w:rPr>
        <w:t>Mardi 31 MARS 2020</w:t>
      </w:r>
      <w:r>
        <w:rPr>
          <w:lang w:val="fr-FR"/>
        </w:rPr>
        <w:tab/>
        <w:t>POUR PUBLICATION IMMÉDIATE</w:t>
      </w:r>
    </w:p>
    <w:p>
      <w:pPr>
        <w:jc w:val="center"/>
        <w:rPr>
          <w:rFonts w:cs="Arial"/>
          <w:b/>
          <w:sz w:val="35"/>
          <w:szCs w:val="35"/>
          <w:lang w:val="fr-FR"/>
        </w:rPr>
      </w:pPr>
      <w:bookmarkStart w:id="0" w:name="OLE_LINK1"/>
      <w:bookmarkStart w:id="1" w:name="OLE_LINK2"/>
      <w:bookmarkStart w:id="2" w:name="OLE_LINK3"/>
      <w:bookmarkStart w:id="3" w:name="OLE_LINK4"/>
      <w:bookmarkStart w:id="4" w:name="_GoBack"/>
      <w:r>
        <w:rPr>
          <w:b/>
          <w:sz w:val="35"/>
          <w:lang w:val="fr-FR"/>
        </w:rPr>
        <w:br/>
      </w:r>
      <w:bookmarkEnd w:id="0"/>
      <w:bookmarkEnd w:id="1"/>
      <w:bookmarkEnd w:id="2"/>
      <w:bookmarkEnd w:id="3"/>
      <w:r>
        <w:rPr>
          <w:rFonts w:cs="Arial"/>
          <w:b/>
          <w:sz w:val="35"/>
          <w:szCs w:val="35"/>
          <w:lang w:val="fr-FR"/>
        </w:rPr>
        <w:t>IQD lance un nouvel oscillateur OCXO asservi par GNSS</w:t>
      </w:r>
    </w:p>
    <w:bookmarkEnd w:id="4"/>
    <w:p>
      <w:pPr>
        <w:pStyle w:val="Ends"/>
        <w:jc w:val="left"/>
        <w:rPr>
          <w:b w:val="0"/>
          <w:sz w:val="20"/>
          <w:lang w:val="fr-FR"/>
        </w:rPr>
      </w:pPr>
      <w:r>
        <w:rPr>
          <w:b w:val="0"/>
          <w:sz w:val="20"/>
          <w:lang w:val="fr-FR"/>
        </w:rPr>
        <w:t>Le dernier né de la gamme de modules d'oscillateur avancé d'IQD est l’oscillateur OCXO asservi IQCM-112.</w:t>
      </w:r>
    </w:p>
    <w:p>
      <w:pPr>
        <w:pStyle w:val="Ends"/>
        <w:jc w:val="left"/>
        <w:rPr>
          <w:b w:val="0"/>
          <w:sz w:val="20"/>
          <w:lang w:val="fr-FR"/>
        </w:rPr>
      </w:pPr>
      <w:r>
        <w:rPr>
          <w:b w:val="0"/>
          <w:sz w:val="20"/>
          <w:lang w:val="fr-FR"/>
        </w:rPr>
        <w:t xml:space="preserve">Ce nouveau modèle intègre un récepteur GNSS interne avec une sortie 1PPS compatible avec une source GPS, GLONASS, BEIDOU et GALILEO externe. Il est logé dans un boîtier carré de 14 broches et 60mm. Lorsqu'il est raccordé à une antenne externe par le connecteur SMA incorporé et en cas de perte du signal GNSS, l'oscillateur OCXO 10MHz hautement spécialisé passera en mode « </w:t>
      </w:r>
      <w:proofErr w:type="spellStart"/>
      <w:r>
        <w:rPr>
          <w:b w:val="0"/>
          <w:sz w:val="20"/>
          <w:lang w:val="fr-FR"/>
        </w:rPr>
        <w:t>holdover</w:t>
      </w:r>
      <w:proofErr w:type="spellEnd"/>
      <w:r>
        <w:rPr>
          <w:b w:val="0"/>
          <w:sz w:val="20"/>
          <w:lang w:val="fr-FR"/>
        </w:rPr>
        <w:t xml:space="preserve"> » de 1,5 µSecondes pour une période de 24 heures maintenant la précision jusqu'au retour du signal de référence.</w:t>
      </w:r>
    </w:p>
    <w:p>
      <w:pPr>
        <w:pStyle w:val="Ends"/>
        <w:jc w:val="left"/>
        <w:rPr>
          <w:b w:val="0"/>
          <w:sz w:val="20"/>
          <w:lang w:val="fr-FR"/>
        </w:rPr>
      </w:pPr>
      <w:r>
        <w:rPr>
          <w:b w:val="0"/>
          <w:sz w:val="20"/>
          <w:lang w:val="fr-FR"/>
        </w:rPr>
        <w:t xml:space="preserve">La plage de température fonctionnelle du module est comprise entre -20 et 75 degrés Celsius. Il est également disponible sous une plage de température fonctionnelle comprise entre -40 et 85 degrés Celsius. D'autres caractéristiques du mode « </w:t>
      </w:r>
      <w:proofErr w:type="spellStart"/>
      <w:r>
        <w:rPr>
          <w:b w:val="0"/>
          <w:sz w:val="20"/>
          <w:lang w:val="fr-FR"/>
        </w:rPr>
        <w:t>holdover</w:t>
      </w:r>
      <w:proofErr w:type="spellEnd"/>
      <w:r>
        <w:rPr>
          <w:b w:val="0"/>
          <w:sz w:val="20"/>
          <w:lang w:val="fr-FR"/>
        </w:rPr>
        <w:t xml:space="preserve"> » peuvent être envisagées sur demande. L’alimentation électrique requise est de 5V avec une sortie HCMOS standard. Sa consommation électrique ne dépasse pas 2A pendant le préchauffage et descend à 1A après stabilisation.</w:t>
      </w:r>
    </w:p>
    <w:p>
      <w:pPr>
        <w:pStyle w:val="Ends"/>
        <w:jc w:val="left"/>
        <w:rPr>
          <w:b w:val="0"/>
          <w:sz w:val="20"/>
          <w:lang w:val="fr-FR"/>
        </w:rPr>
      </w:pPr>
      <w:r>
        <w:rPr>
          <w:b w:val="0"/>
          <w:sz w:val="20"/>
          <w:lang w:val="fr-FR"/>
        </w:rPr>
        <w:t xml:space="preserve">Il inclut un algorithme adaptatif interne qui permet au module d’« apprendre » les paramètres d’un signal GNSS après 3 jours de verrouillage afin que la fonction « </w:t>
      </w:r>
      <w:proofErr w:type="spellStart"/>
      <w:r>
        <w:rPr>
          <w:b w:val="0"/>
          <w:sz w:val="20"/>
          <w:lang w:val="fr-FR"/>
        </w:rPr>
        <w:t>holdover</w:t>
      </w:r>
      <w:proofErr w:type="spellEnd"/>
      <w:r>
        <w:rPr>
          <w:b w:val="0"/>
          <w:sz w:val="20"/>
          <w:lang w:val="fr-FR"/>
        </w:rPr>
        <w:t xml:space="preserve"> » puisse se déclencher en cas d’échec du signal. Une alarme interne est intégrée pour indiquer l’échec du verrouillage et le rétablissement du signal qui s’ensuit. Par ailleurs, l’appareil inclut une connexion série pour une analyse beaucoup plus détaillée des performances de l’appareil.</w:t>
      </w:r>
    </w:p>
    <w:p>
      <w:pPr>
        <w:pStyle w:val="Ends"/>
        <w:jc w:val="left"/>
        <w:rPr>
          <w:b w:val="0"/>
          <w:sz w:val="20"/>
          <w:lang w:val="fr-FR"/>
        </w:rPr>
      </w:pPr>
      <w:r>
        <w:rPr>
          <w:b w:val="0"/>
          <w:sz w:val="20"/>
          <w:lang w:val="fr-FR"/>
        </w:rPr>
        <w:t xml:space="preserve">Conçu pour une utilisation sur un grand nombre d’applications, notamment les systèmes de télécommunications terrestres ainsi que les systèmes de navigation marins, le IQCM-112 fait partie d’une gamme de modules et d’oscillateurs à quartz </w:t>
      </w:r>
      <w:proofErr w:type="spellStart"/>
      <w:r>
        <w:rPr>
          <w:b w:val="0"/>
          <w:sz w:val="20"/>
          <w:lang w:val="fr-FR"/>
        </w:rPr>
        <w:t>thermostatés</w:t>
      </w:r>
      <w:proofErr w:type="spellEnd"/>
      <w:r>
        <w:rPr>
          <w:b w:val="0"/>
          <w:sz w:val="20"/>
          <w:lang w:val="fr-FR"/>
        </w:rPr>
        <w:t xml:space="preserve"> hautement spécialisés disponibles chez IQD. </w:t>
      </w:r>
    </w:p>
    <w:p>
      <w:pPr>
        <w:pStyle w:val="Ends"/>
        <w:jc w:val="left"/>
        <w:rPr>
          <w:b w:val="0"/>
          <w:sz w:val="20"/>
          <w:lang w:val="fr-FR"/>
        </w:rPr>
      </w:pPr>
      <w:r>
        <w:rPr>
          <w:b w:val="0"/>
          <w:sz w:val="20"/>
          <w:lang w:val="fr-FR"/>
        </w:rPr>
        <w:t>Retrouvez plus de renseignements sur le site Internet d’IQD sur www.iqdfrequencyproducts.com ou contactez un membre de notre équipe du support d’applications pour obtenir plus de conseils.</w:t>
      </w:r>
    </w:p>
    <w:p>
      <w:pPr>
        <w:pStyle w:val="Ends"/>
        <w:rPr>
          <w:lang w:val="fr-FR"/>
        </w:rPr>
      </w:pPr>
      <w:r>
        <w:rPr>
          <w:lang w:val="fr-FR"/>
        </w:rPr>
        <w:t>###</w:t>
      </w:r>
    </w:p>
    <w:p>
      <w:pPr>
        <w:pStyle w:val="Ends"/>
        <w:spacing w:after="0"/>
        <w:jc w:val="left"/>
        <w:rPr>
          <w:lang w:val="fr-FR"/>
        </w:rPr>
      </w:pPr>
      <w:r>
        <w:rPr>
          <w:sz w:val="18"/>
          <w:szCs w:val="18"/>
          <w:lang w:val="fr-FR"/>
        </w:rPr>
        <w:t>Notes aux éditeurs :</w:t>
      </w:r>
    </w:p>
    <w:p>
      <w:pPr>
        <w:pStyle w:val="PressReleaseNotes"/>
        <w:spacing w:after="0"/>
        <w:rPr>
          <w:rStyle w:val="Hyperlink"/>
          <w:rFonts w:cs="Arial"/>
          <w:sz w:val="18"/>
          <w:szCs w:val="18"/>
          <w:lang w:val="fr-FR"/>
        </w:rPr>
      </w:pPr>
      <w:r>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Pr>
          <w:rFonts w:cs="Arial"/>
          <w:sz w:val="18"/>
          <w:szCs w:val="18"/>
          <w:lang w:val="fr-FR"/>
        </w:rPr>
        <w:t>Würth</w:t>
      </w:r>
      <w:proofErr w:type="spellEnd"/>
      <w:r>
        <w:rPr>
          <w:rFonts w:cs="Arial"/>
          <w:sz w:val="18"/>
          <w:szCs w:val="18"/>
          <w:lang w:val="fr-FR"/>
        </w:rPr>
        <w:t xml:space="preserve"> </w:t>
      </w:r>
      <w:proofErr w:type="spellStart"/>
      <w:r>
        <w:rPr>
          <w:rFonts w:cs="Arial"/>
          <w:sz w:val="18"/>
          <w:szCs w:val="18"/>
          <w:lang w:val="fr-FR"/>
        </w:rPr>
        <w:t>Elektronik</w:t>
      </w:r>
      <w:proofErr w:type="spellEnd"/>
      <w:r>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 : </w:t>
      </w:r>
      <w:hyperlink r:id="rId8" w:history="1">
        <w:r>
          <w:rPr>
            <w:rStyle w:val="Hyperlink"/>
            <w:rFonts w:cs="Arial"/>
            <w:sz w:val="18"/>
            <w:szCs w:val="18"/>
            <w:lang w:val="fr-FR"/>
          </w:rPr>
          <w:t>Les Quartz</w:t>
        </w:r>
      </w:hyperlink>
      <w:r>
        <w:rPr>
          <w:rFonts w:cs="Arial"/>
          <w:sz w:val="18"/>
          <w:szCs w:val="18"/>
          <w:lang w:val="fr-FR"/>
        </w:rPr>
        <w:t xml:space="preserve">, </w:t>
      </w:r>
      <w:hyperlink r:id="rId9" w:history="1">
        <w:r>
          <w:rPr>
            <w:rStyle w:val="Hyperlink"/>
            <w:rFonts w:cs="Arial"/>
            <w:sz w:val="18"/>
            <w:szCs w:val="18"/>
            <w:lang w:val="fr-FR"/>
          </w:rPr>
          <w:t>Oscillateurs</w:t>
        </w:r>
      </w:hyperlink>
      <w:r>
        <w:rPr>
          <w:rFonts w:cs="Arial"/>
          <w:sz w:val="18"/>
          <w:szCs w:val="18"/>
          <w:lang w:val="fr-FR"/>
        </w:rPr>
        <w:t xml:space="preserve">, </w:t>
      </w:r>
      <w:hyperlink r:id="rId10" w:history="1">
        <w:r>
          <w:rPr>
            <w:rStyle w:val="Hyperlink"/>
            <w:rFonts w:cs="Arial"/>
            <w:sz w:val="18"/>
            <w:szCs w:val="18"/>
            <w:lang w:val="fr-FR"/>
          </w:rPr>
          <w:t>Quartz</w:t>
        </w:r>
      </w:hyperlink>
      <w:r>
        <w:rPr>
          <w:rFonts w:cs="Arial"/>
          <w:sz w:val="18"/>
          <w:szCs w:val="18"/>
          <w:lang w:val="fr-FR"/>
        </w:rPr>
        <w:t xml:space="preserve"> et </w:t>
      </w:r>
      <w:hyperlink r:id="rId11" w:history="1">
        <w:r>
          <w:rPr>
            <w:rStyle w:val="Hyperlink"/>
            <w:rFonts w:cs="Arial"/>
            <w:sz w:val="18"/>
            <w:szCs w:val="18"/>
            <w:lang w:val="fr-FR"/>
          </w:rPr>
          <w:t>Oscillateurs</w:t>
        </w:r>
      </w:hyperlink>
      <w:r>
        <w:rPr>
          <w:rFonts w:cs="Arial"/>
          <w:sz w:val="18"/>
          <w:szCs w:val="18"/>
          <w:lang w:val="fr-FR"/>
        </w:rPr>
        <w:t xml:space="preserve"> AEC-Q200, </w:t>
      </w:r>
      <w:hyperlink r:id="rId12" w:history="1">
        <w:r>
          <w:rPr>
            <w:rStyle w:val="Hyperlink"/>
            <w:rFonts w:cs="Arial"/>
            <w:sz w:val="18"/>
            <w:szCs w:val="18"/>
            <w:lang w:val="fr-FR"/>
          </w:rPr>
          <w:t>VCXO</w:t>
        </w:r>
      </w:hyperlink>
      <w:r>
        <w:rPr>
          <w:rFonts w:cs="Arial"/>
          <w:sz w:val="18"/>
          <w:szCs w:val="18"/>
          <w:lang w:val="fr-FR"/>
        </w:rPr>
        <w:t xml:space="preserve">, </w:t>
      </w:r>
      <w:hyperlink r:id="rId13" w:history="1">
        <w:r>
          <w:rPr>
            <w:rStyle w:val="Hyperlink"/>
            <w:rFonts w:cs="Arial"/>
            <w:sz w:val="18"/>
            <w:szCs w:val="18"/>
            <w:lang w:val="fr-FR"/>
          </w:rPr>
          <w:t>TCXO</w:t>
        </w:r>
      </w:hyperlink>
      <w:r>
        <w:rPr>
          <w:rFonts w:cs="Arial"/>
          <w:sz w:val="18"/>
          <w:szCs w:val="18"/>
          <w:lang w:val="fr-FR"/>
        </w:rPr>
        <w:t xml:space="preserve">, </w:t>
      </w:r>
      <w:hyperlink r:id="rId14" w:history="1">
        <w:proofErr w:type="spellStart"/>
        <w:r>
          <w:rPr>
            <w:rStyle w:val="Hyperlink"/>
            <w:rFonts w:cs="Arial"/>
            <w:sz w:val="18"/>
            <w:szCs w:val="18"/>
            <w:lang w:val="fr-FR"/>
          </w:rPr>
          <w:t>OCVCSOs</w:t>
        </w:r>
        <w:proofErr w:type="spellEnd"/>
        <w:r>
          <w:rPr>
            <w:rStyle w:val="Hyperlink"/>
            <w:rFonts w:cs="Arial"/>
            <w:sz w:val="18"/>
            <w:szCs w:val="18"/>
            <w:lang w:val="fr-FR"/>
          </w:rPr>
          <w:t xml:space="preserve"> &amp; </w:t>
        </w:r>
        <w:proofErr w:type="spellStart"/>
        <w:r>
          <w:rPr>
            <w:rStyle w:val="Hyperlink"/>
            <w:rFonts w:cs="Arial"/>
            <w:sz w:val="18"/>
            <w:szCs w:val="18"/>
            <w:lang w:val="fr-FR"/>
          </w:rPr>
          <w:t>OCXOs</w:t>
        </w:r>
        <w:proofErr w:type="spellEnd"/>
      </w:hyperlink>
      <w:r>
        <w:rPr>
          <w:rFonts w:cs="Arial"/>
          <w:sz w:val="18"/>
          <w:szCs w:val="18"/>
          <w:lang w:val="fr-FR"/>
        </w:rPr>
        <w:t xml:space="preserve">, </w:t>
      </w:r>
      <w:hyperlink r:id="rId15" w:history="1">
        <w:r>
          <w:rPr>
            <w:rStyle w:val="Hyperlink"/>
            <w:rFonts w:cs="Arial"/>
            <w:sz w:val="18"/>
            <w:szCs w:val="18"/>
            <w:lang w:val="fr-FR"/>
          </w:rPr>
          <w:t>OCXO synchronisés par GPS</w:t>
        </w:r>
      </w:hyperlink>
      <w:r>
        <w:rPr>
          <w:rFonts w:cs="Arial"/>
          <w:sz w:val="18"/>
          <w:szCs w:val="18"/>
          <w:lang w:val="fr-FR"/>
        </w:rPr>
        <w:t xml:space="preserve">, et </w:t>
      </w:r>
      <w:hyperlink r:id="rId16" w:history="1">
        <w:r>
          <w:rPr>
            <w:rStyle w:val="Hyperlink"/>
            <w:rFonts w:cs="Arial"/>
            <w:sz w:val="18"/>
            <w:szCs w:val="18"/>
            <w:lang w:val="fr-FR"/>
          </w:rPr>
          <w:t>Oscillateurs au rubidium</w:t>
        </w:r>
      </w:hyperlink>
      <w:r>
        <w:rPr>
          <w:rFonts w:cs="Arial"/>
          <w:sz w:val="18"/>
          <w:szCs w:val="18"/>
          <w:lang w:val="fr-FR"/>
        </w:rPr>
        <w:t>.</w:t>
      </w:r>
    </w:p>
    <w:p>
      <w:pPr>
        <w:pStyle w:val="PressReleaseNotes"/>
        <w:spacing w:after="0"/>
        <w:rPr>
          <w:rStyle w:val="Hyperlink"/>
          <w:rFonts w:cs="Arial"/>
          <w:sz w:val="18"/>
          <w:szCs w:val="18"/>
          <w:lang w:val="fr-FR"/>
        </w:rPr>
      </w:pPr>
    </w:p>
    <w:p>
      <w:pPr>
        <w:rPr>
          <w:rFonts w:cs="Arial"/>
          <w:sz w:val="18"/>
          <w:szCs w:val="18"/>
          <w:lang w:val="fr-FR"/>
        </w:rPr>
      </w:pPr>
      <w:r>
        <w:rPr>
          <w:rFonts w:cs="Arial"/>
          <w:sz w:val="18"/>
          <w:szCs w:val="18"/>
          <w:lang w:val="fr-FR"/>
        </w:rPr>
        <w:t xml:space="preserve">Sa capacité de production totale se monte à plus de 40 millions d’unités par mois, avec des commandes allant du produit unique spécifique, à des commandes de quantités atteignant plusieurs millions d’unités. De plus, IQD offre à sa clientèle toute une gamme de services d’assistance en matière d’ingénierie, y compris : </w:t>
      </w:r>
      <w:hyperlink r:id="rId17" w:history="1">
        <w:r>
          <w:rPr>
            <w:rStyle w:val="Hyperlink"/>
            <w:rFonts w:cs="Arial"/>
            <w:sz w:val="18"/>
            <w:szCs w:val="18"/>
            <w:lang w:val="fr-FR"/>
          </w:rPr>
          <w:t>support technique</w:t>
        </w:r>
      </w:hyperlink>
      <w:r>
        <w:rPr>
          <w:rFonts w:cs="Arial"/>
          <w:sz w:val="18"/>
          <w:szCs w:val="18"/>
          <w:lang w:val="fr-FR"/>
        </w:rPr>
        <w:t xml:space="preserve">, conception de produits sur commande, développement d’échantillons, blindage &amp; essais électriques, essais de fréquences/températures, </w:t>
      </w:r>
      <w:r>
        <w:rPr>
          <w:rFonts w:cs="Arial"/>
          <w:sz w:val="18"/>
          <w:szCs w:val="18"/>
          <w:lang w:val="fr-FR"/>
        </w:rPr>
        <w:lastRenderedPageBreak/>
        <w:t xml:space="preserve">vieillissement accéléré, caractérisation de circuits et essais MTIE/TDEV (erreur d’intervalle de temps maximum/écart de temps. Les produits IQD sont utilisés par des fabricants leaders des secteurs de l’aéronautique, automobile, des communications, informatique, industriel, à travers le monde. </w:t>
      </w:r>
      <w:r>
        <w:rPr>
          <w:sz w:val="18"/>
          <w:szCs w:val="18"/>
          <w:lang w:val="fr-FR"/>
        </w:rPr>
        <w:t xml:space="preserve">La gamme complète de nos produits est disponible directement auprès de nos </w:t>
      </w:r>
      <w:hyperlink r:id="rId18" w:history="1">
        <w:r>
          <w:rPr>
            <w:rStyle w:val="Hyperlink"/>
            <w:sz w:val="18"/>
            <w:szCs w:val="18"/>
            <w:lang w:val="fr-FR"/>
          </w:rPr>
          <w:t>bureaux de vente</w:t>
        </w:r>
      </w:hyperlink>
      <w:r>
        <w:rPr>
          <w:sz w:val="18"/>
          <w:szCs w:val="18"/>
          <w:lang w:val="fr-FR"/>
        </w:rPr>
        <w:t xml:space="preserve"> ou via notre réseau de </w:t>
      </w:r>
      <w:hyperlink r:id="rId19" w:history="1">
        <w:r>
          <w:rPr>
            <w:rStyle w:val="Hyperlink"/>
            <w:sz w:val="18"/>
            <w:szCs w:val="18"/>
            <w:lang w:val="fr-FR"/>
          </w:rPr>
          <w:t>distribution mondial</w:t>
        </w:r>
      </w:hyperlink>
      <w:r>
        <w:rPr>
          <w:sz w:val="18"/>
          <w:szCs w:val="18"/>
          <w:lang w:val="fr-FR"/>
        </w:rPr>
        <w:t xml:space="preserve">. Pour plus d'informations, visitez </w:t>
      </w:r>
      <w:hyperlink r:id="rId20" w:history="1">
        <w:r>
          <w:rPr>
            <w:rStyle w:val="Hyperlink"/>
            <w:sz w:val="18"/>
            <w:szCs w:val="18"/>
            <w:lang w:val="fr-FR"/>
          </w:rPr>
          <w:t>www.iqdfrequencyproducts.fr</w:t>
        </w:r>
      </w:hyperlink>
      <w:r>
        <w:rPr>
          <w:rStyle w:val="Hyperlink"/>
          <w:color w:val="auto"/>
          <w:sz w:val="18"/>
          <w:szCs w:val="18"/>
          <w:u w:val="none"/>
          <w:lang w:val="fr-FR"/>
        </w:rPr>
        <w:t>.</w:t>
      </w:r>
    </w:p>
    <w:p>
      <w:pPr>
        <w:pStyle w:val="PressReleaseNotes"/>
        <w:rPr>
          <w:rFonts w:cs="Arial"/>
          <w:sz w:val="18"/>
          <w:szCs w:val="18"/>
          <w:lang w:val="fr-FR"/>
        </w:rPr>
      </w:pPr>
    </w:p>
    <w:p>
      <w:pPr>
        <w:pStyle w:val="PressReleaseNotesFurtherInformation"/>
        <w:rPr>
          <w:rFonts w:cs="Arial"/>
          <w:sz w:val="18"/>
          <w:szCs w:val="18"/>
          <w:lang w:val="fr-FR"/>
        </w:rPr>
      </w:pPr>
      <w:r>
        <w:rPr>
          <w:rFonts w:cs="Arial"/>
          <w:sz w:val="18"/>
          <w:szCs w:val="18"/>
          <w:lang w:val="fr-FR"/>
        </w:rPr>
        <w:t xml:space="preserve">Informations complémentaires : </w:t>
      </w:r>
    </w:p>
    <w:p>
      <w:pPr>
        <w:pStyle w:val="PressReleaseNotes"/>
        <w:rPr>
          <w:rFonts w:cs="Arial"/>
          <w:sz w:val="18"/>
          <w:szCs w:val="18"/>
          <w:lang w:val="fr-FR"/>
        </w:rPr>
      </w:pPr>
      <w:proofErr w:type="spellStart"/>
      <w:r>
        <w:rPr>
          <w:rFonts w:cs="Arial"/>
          <w:sz w:val="18"/>
          <w:szCs w:val="18"/>
          <w:lang w:val="fr-FR"/>
        </w:rPr>
        <w:t>Becky</w:t>
      </w:r>
      <w:proofErr w:type="spellEnd"/>
      <w:r>
        <w:rPr>
          <w:rFonts w:cs="Arial"/>
          <w:sz w:val="18"/>
          <w:szCs w:val="18"/>
          <w:lang w:val="fr-FR"/>
        </w:rPr>
        <w:t xml:space="preserve"> Long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 +44 (0)1460 270270</w:t>
      </w:r>
      <w:r>
        <w:rPr>
          <w:rFonts w:cs="Arial"/>
          <w:sz w:val="18"/>
          <w:szCs w:val="18"/>
          <w:lang w:val="fr-FR"/>
        </w:rPr>
        <w:br/>
        <w:t xml:space="preserve">Email : </w:t>
      </w:r>
      <w:hyperlink r:id="rId21" w:history="1">
        <w:r>
          <w:rPr>
            <w:rStyle w:val="Hyperlink"/>
            <w:rFonts w:cs="Arial"/>
            <w:sz w:val="18"/>
            <w:szCs w:val="18"/>
            <w:lang w:val="fr-FR"/>
          </w:rPr>
          <w:t>rebecca.long@iqdfrequencyproducts.com</w:t>
        </w:r>
      </w:hyperlink>
      <w:r>
        <w:rPr>
          <w:rFonts w:cs="Arial"/>
          <w:sz w:val="18"/>
          <w:szCs w:val="18"/>
          <w:lang w:val="fr-FR"/>
        </w:rPr>
        <w:br/>
        <w:t xml:space="preserve">Web : </w:t>
      </w:r>
      <w:hyperlink r:id="rId22" w:history="1">
        <w:r>
          <w:rPr>
            <w:rStyle w:val="Hyperlink"/>
            <w:rFonts w:cs="Arial"/>
            <w:sz w:val="18"/>
            <w:szCs w:val="18"/>
            <w:lang w:val="fr-FR"/>
          </w:rPr>
          <w:t>www.iqdfrequencyproducts.com</w:t>
        </w:r>
      </w:hyperlink>
    </w:p>
    <w:p>
      <w:pPr>
        <w:pStyle w:val="PressReleaseNotes"/>
        <w:rPr>
          <w:rStyle w:val="Hyperlink"/>
          <w:rFonts w:cs="Arial"/>
          <w:b/>
          <w:bCs/>
          <w:sz w:val="18"/>
          <w:szCs w:val="18"/>
          <w:lang w:val="fr-FR"/>
        </w:rPr>
      </w:pPr>
      <w:r>
        <w:rPr>
          <w:rFonts w:cs="Arial"/>
          <w:b/>
          <w:bCs/>
          <w:sz w:val="18"/>
          <w:szCs w:val="18"/>
          <w:lang w:val="fr-FR"/>
        </w:rPr>
        <w:t>Rejoignez-nous sur :</w:t>
      </w:r>
      <w:r>
        <w:rPr>
          <w:rFonts w:cs="Arial"/>
          <w:b/>
          <w:bCs/>
          <w:color w:val="1F497D"/>
          <w:sz w:val="18"/>
          <w:szCs w:val="18"/>
          <w:lang w:val="fr-FR"/>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fr-FR"/>
        </w:rPr>
        <w:t> </w:t>
      </w:r>
      <w:hyperlink r:id="rId24" w:history="1">
        <w:r>
          <w:rPr>
            <w:rStyle w:val="Hyperlink"/>
            <w:rFonts w:cs="Arial"/>
            <w:b/>
            <w:bCs/>
            <w:sz w:val="18"/>
            <w:szCs w:val="18"/>
            <w:lang w:val="fr-FR"/>
          </w:rPr>
          <w:t>Facebook</w:t>
        </w:r>
      </w:hyperlink>
      <w:r>
        <w:rPr>
          <w:rFonts w:cs="Arial"/>
          <w:b/>
          <w:bCs/>
          <w:color w:val="1F497D"/>
          <w:sz w:val="18"/>
          <w:szCs w:val="18"/>
          <w:lang w:val="fr-FR"/>
        </w:rPr>
        <w:t xml:space="preserve">  </w:t>
      </w:r>
      <w:r>
        <w:rPr>
          <w:rFonts w:cs="Arial"/>
          <w:b/>
          <w:bCs/>
          <w:sz w:val="18"/>
          <w:szCs w:val="18"/>
          <w:lang w:val="fr-FR"/>
        </w:rPr>
        <w:t>-</w:t>
      </w:r>
      <w:r>
        <w:rPr>
          <w:rFonts w:cs="Arial"/>
          <w:b/>
          <w:bCs/>
          <w:color w:val="1F497D"/>
          <w:sz w:val="18"/>
          <w:szCs w:val="18"/>
          <w:lang w:val="fr-FR"/>
        </w:rPr>
        <w:t xml:space="preserve">  </w:t>
      </w:r>
      <w:r>
        <w:rPr>
          <w:rFonts w:cs="Arial"/>
          <w:noProof/>
          <w:lang w:val="en-US" w:eastAsia="zh-CN" w:bidi="he-IL"/>
        </w:rPr>
        <w:drawing>
          <wp:inline distT="0" distB="0" distL="0" distR="0">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Pr>
          <w:rFonts w:cs="Arial"/>
          <w:b/>
          <w:bCs/>
          <w:color w:val="1F497D"/>
          <w:sz w:val="18"/>
          <w:szCs w:val="18"/>
          <w:lang w:val="fr-FR"/>
        </w:rPr>
        <w:t xml:space="preserve"> </w:t>
      </w:r>
      <w:hyperlink r:id="rId26" w:history="1">
        <w:r>
          <w:rPr>
            <w:rStyle w:val="Hyperlink"/>
            <w:rFonts w:cs="Arial"/>
            <w:b/>
            <w:bCs/>
            <w:sz w:val="18"/>
            <w:szCs w:val="18"/>
            <w:lang w:val="fr-FR"/>
          </w:rPr>
          <w:t>Twitter</w:t>
        </w:r>
      </w:hyperlink>
      <w:r>
        <w:rPr>
          <w:rFonts w:cs="Arial"/>
          <w:b/>
          <w:bCs/>
          <w:color w:val="1F497D"/>
          <w:sz w:val="18"/>
          <w:szCs w:val="18"/>
          <w:lang w:val="fr-FR"/>
        </w:rPr>
        <w:t xml:space="preserve">  </w:t>
      </w:r>
      <w:r>
        <w:rPr>
          <w:rFonts w:cs="Arial"/>
          <w:b/>
          <w:bCs/>
          <w:sz w:val="18"/>
          <w:szCs w:val="18"/>
          <w:lang w:val="fr-FR"/>
        </w:rPr>
        <w:t>-</w:t>
      </w:r>
      <w:r>
        <w:rPr>
          <w:rFonts w:cs="Arial"/>
          <w:b/>
          <w:bCs/>
          <w:color w:val="1F497D"/>
          <w:sz w:val="18"/>
          <w:szCs w:val="18"/>
          <w:lang w:val="fr-FR"/>
        </w:rPr>
        <w:t xml:space="preserve">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fr-FR"/>
        </w:rPr>
        <w:t> </w:t>
      </w:r>
      <w:hyperlink r:id="rId28" w:history="1">
        <w:r>
          <w:rPr>
            <w:rStyle w:val="Hyperlink"/>
            <w:rFonts w:cs="Arial"/>
            <w:b/>
            <w:bCs/>
            <w:sz w:val="18"/>
            <w:szCs w:val="18"/>
            <w:lang w:val="fr-FR"/>
          </w:rPr>
          <w:t>LinkedIn</w:t>
        </w:r>
      </w:hyperlink>
      <w:r>
        <w:rPr>
          <w:rFonts w:cs="Arial"/>
          <w:bCs/>
          <w:sz w:val="18"/>
          <w:szCs w:val="18"/>
          <w:lang w:val="fr-FR"/>
        </w:rPr>
        <w:t xml:space="preserve"> - </w:t>
      </w:r>
      <w:r>
        <w:rPr>
          <w:rFonts w:cs="Arial"/>
          <w:b/>
          <w:bCs/>
          <w:color w:val="1F497D"/>
          <w:sz w:val="18"/>
          <w:szCs w:val="18"/>
          <w:lang w:val="fr-FR"/>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fr-FR"/>
        </w:rPr>
        <w:t xml:space="preserve"> </w:t>
      </w:r>
      <w:hyperlink r:id="rId30" w:anchor="115636882866960685149/posts" w:history="1">
        <w:r>
          <w:rPr>
            <w:rStyle w:val="Hyperlink"/>
            <w:rFonts w:cs="Arial"/>
            <w:b/>
            <w:bCs/>
            <w:sz w:val="18"/>
            <w:szCs w:val="18"/>
            <w:lang w:val="fr-FR"/>
          </w:rPr>
          <w:t>Google Plus</w:t>
        </w:r>
      </w:hyperlink>
    </w:p>
    <w:p>
      <w:pPr>
        <w:pStyle w:val="PressReleaseNotes"/>
        <w:rPr>
          <w:rStyle w:val="Hyperlink"/>
          <w:rFonts w:cs="Arial"/>
          <w:b/>
          <w:bCs/>
          <w:sz w:val="18"/>
          <w:szCs w:val="18"/>
          <w:lang w:val="fr-FR"/>
        </w:rPr>
      </w:pPr>
    </w:p>
    <w:p>
      <w:pPr>
        <w:pStyle w:val="PressReleaseNotes"/>
        <w:rPr>
          <w:rFonts w:cs="Arial"/>
          <w:lang w:val="fr-FR"/>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pqEWfr" TargetMode="External"/><Relationship Id="rId13" Type="http://schemas.openxmlformats.org/officeDocument/2006/relationships/hyperlink" Target="https://goo.gl/1e5Eha" TargetMode="External"/><Relationship Id="rId18" Type="http://schemas.openxmlformats.org/officeDocument/2006/relationships/hyperlink" Target="https://goo.gl/pYGiuP"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ACo9cq" TargetMode="External"/><Relationship Id="rId17" Type="http://schemas.openxmlformats.org/officeDocument/2006/relationships/hyperlink" Target="https://goo.gl/F3s9U3" TargetMode="External"/><Relationship Id="rId25" Type="http://schemas.openxmlformats.org/officeDocument/2006/relationships/image" Target="media/image2.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i2Xtiq" TargetMode="External"/><Relationship Id="rId20" Type="http://schemas.openxmlformats.org/officeDocument/2006/relationships/hyperlink" Target="https://goo.gl/LrEhnW"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YvLgX"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LMrNfi"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H7XpUW" TargetMode="External"/><Relationship Id="rId19" Type="http://schemas.openxmlformats.org/officeDocument/2006/relationships/hyperlink" Target="https://goo.gl/P8s95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WGtNh" TargetMode="External"/><Relationship Id="rId14" Type="http://schemas.openxmlformats.org/officeDocument/2006/relationships/hyperlink" Target="https://goo.gl/fGwj5s"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884F-B5C1-4E54-97F5-9F043874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7</cp:revision>
  <cp:lastPrinted>2015-08-21T16:09:00Z</cp:lastPrinted>
  <dcterms:created xsi:type="dcterms:W3CDTF">2019-04-11T09:03:00Z</dcterms:created>
  <dcterms:modified xsi:type="dcterms:W3CDTF">2020-03-20T08:44:00Z</dcterms:modified>
</cp:coreProperties>
</file>